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Operations Support Field Guide</w:t>
        <w:br/>
        <w:t>Executive Brief (Draft v0.1)</w:t>
      </w:r>
    </w:p>
    <w:p>
      <w:r>
        <w:t>Purpose</w:t>
        <w:br/>
        <w:br/>
        <w:t>This Field Guide is the operational doctrine for the Operations Support business.</w:t>
        <w:br/>
        <w:br/>
        <w:t>It is written for an AI implementation team working alongside Damian Seguin.</w:t>
        <w:br/>
        <w:br/>
        <w:t>The objective is to identify organizations whose operational problems are symptoms of fragile organizational knowledge, diagnose the underlying causes, recommend practical interventions, and support implementation.</w:t>
        <w:br/>
        <w:br/>
        <w:t>Clients do not buy AI.</w:t>
        <w:br/>
        <w:t>Clients do not buy governance.</w:t>
        <w:br/>
        <w:t>Clients buy relief from recurring operational problems.</w:t>
        <w:br/>
        <w:br/>
        <w:t>Typical questions include:</w:t>
        <w:br/>
        <w:br/>
        <w:t>• Why does everything depend on one person?</w:t>
        <w:br/>
        <w:t>• Why are we constantly fixing the same mistakes?</w:t>
        <w:br/>
        <w:t>• Why are our processes inconsistent?</w:t>
        <w:br/>
        <w:t>• Why does work slow down whenever someone is away?</w:t>
        <w:br/>
        <w:t>• Why do we have five systems that don't talk to each other?</w:t>
        <w:br/>
        <w:t>• Why does every employee use AI differently?</w:t>
        <w:br/>
        <w:br/>
        <w:t>These are treated as observable symptoms rather than independent problems.</w:t>
        <w:br/>
        <w:br/>
        <w:t>The working hypothesis is that recurring operational friction often reflects weaknesses in the organization's knowledge architecture and operational judgment.</w:t>
        <w:br/>
        <w:br/>
        <w:t>AI is treated as an implementation capability, not the product.</w:t>
        <w:br/>
        <w:br/>
        <w:t>Primary Objectives</w:t>
        <w:br/>
        <w:br/>
        <w:t>1. Reveal hidden operational knowledge dependencies.</w:t>
        <w:br/>
        <w:t>2. Externalize critical operational judgment.</w:t>
        <w:br/>
        <w:t>3. Reduce operational fragility.</w:t>
        <w:br/>
        <w:t>4. Improve organizational adaptability.</w:t>
        <w:br/>
        <w:t>5. Leave every client with more durable, transferable operational knowledge.</w:t>
        <w:br/>
        <w:br/>
        <w:t>Authoring Status</w:t>
        <w:br/>
        <w:br/>
        <w:t>This document is the beginning of the canonical Operations Support Field Guide.</w:t>
        <w:br/>
        <w:t>Future chapters will be appended to this document rather than created as disconnected chat outputs.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