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&lt;MPU6050_light.h&gt;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alpha;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alphav;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float U=0;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float Kpos=1;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Kvitt=0.1;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float epsip;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epsiv;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Rm=3.15;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Lm=0.0015;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K=1.028;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fm=0.16805;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MPU6050 centrale_inertielle(Wire);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borneIN1        9       // On associe la borne "IN1" du L298N à la pin D9 de l'arduino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borneIN2        8       // On associe la borne "IN2" du L298N à la pin D8 de l'arduino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Serial.println("starting");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Wire.begin();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centrale_inertielle.begin();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centrale_inertielle.calcGyroOffsets(); //Calibrate gyroscope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pinMode(borneIN1,OUTPUT);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pinMode(borneIN2,OUTPUT);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Serial.println("fin de setup");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centrale_inertielle.update();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alpha= centrale_inertielle.getAngleX();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Serial.println(centrale_inertielle.getAngleX());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alphav=centrale_inertielle.getGyroX();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epsip=0-alpha;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epsiv=Kpos*epsip-alphav;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U=Kvitt*epsiv;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if (U&gt;12){U=12;}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(U&lt;-12){U=-12;}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U=floor(U*255/12);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Serial.println(U);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 (U&lt;0){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analogWrite(borneIN1, abs(U));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analogWrite(borneIN2,0);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(U&gt;0){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analogWrite(borneIN1, 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analogWrite(borneIN2, abs(U));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