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Archivo de configuración de protocolo</w:t>
      </w:r>
    </w:p>
    <w:p>
      <w:r>
        <w:t>Plantilla compatible con la lectura automática de BioSize Clinical.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Tipo de diseño</w:t>
            </w:r>
          </w:p>
        </w:tc>
        <w:tc>
          <w:tcPr>
            <w:tcW w:type="dxa" w:w="4320"/>
          </w:tcPr>
          <w:p>
            <w:r>
              <w:t>medias_independientes</w:t>
            </w:r>
          </w:p>
        </w:tc>
      </w:tr>
      <w:tr>
        <w:tc>
          <w:tcPr>
            <w:tcW w:type="dxa" w:w="4320"/>
          </w:tcPr>
          <w:p>
            <w:r>
              <w:t>Error alfa</w:t>
            </w:r>
          </w:p>
        </w:tc>
        <w:tc>
          <w:tcPr>
            <w:tcW w:type="dxa" w:w="4320"/>
          </w:tcPr>
          <w:p>
            <w:r>
              <w:t>0,05</w:t>
            </w:r>
          </w:p>
        </w:tc>
      </w:tr>
      <w:tr>
        <w:tc>
          <w:tcPr>
            <w:tcW w:type="dxa" w:w="4320"/>
          </w:tcPr>
          <w:p>
            <w:r>
              <w:t>Poder estadístico</w:t>
            </w:r>
          </w:p>
        </w:tc>
        <w:tc>
          <w:tcPr>
            <w:tcW w:type="dxa" w:w="4320"/>
          </w:tcPr>
          <w:p>
            <w:r>
              <w:t>0,80</w:t>
            </w:r>
          </w:p>
        </w:tc>
      </w:tr>
      <w:tr>
        <w:tc>
          <w:tcPr>
            <w:tcW w:type="dxa" w:w="4320"/>
          </w:tcPr>
          <w:p>
            <w:r>
              <w:t>Efecto esperado</w:t>
            </w:r>
          </w:p>
        </w:tc>
        <w:tc>
          <w:tcPr>
            <w:tcW w:type="dxa" w:w="4320"/>
          </w:tcPr>
          <w:p>
            <w:r>
              <w:t>5,0</w:t>
            </w:r>
          </w:p>
        </w:tc>
      </w:tr>
      <w:tr>
        <w:tc>
          <w:tcPr>
            <w:tcW w:type="dxa" w:w="4320"/>
          </w:tcPr>
          <w:p>
            <w:r>
              <w:t>Variabilidad estimada</w:t>
            </w:r>
          </w:p>
        </w:tc>
        <w:tc>
          <w:tcPr>
            <w:tcW w:type="dxa" w:w="4320"/>
          </w:tcPr>
          <w:p>
            <w:r>
              <w:t>10,0</w:t>
            </w:r>
          </w:p>
        </w:tc>
      </w:tr>
      <w:tr>
        <w:tc>
          <w:tcPr>
            <w:tcW w:type="dxa" w:w="4320"/>
          </w:tcPr>
          <w:p>
            <w:r>
              <w:t>Pérdidas esperadas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>
      <w:r>
        <w:t>Puede agregar prevalencia, sensibilidad, especificidad, margen, OR, RR, hazard ratio y otros parámetros específicos.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