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pBdr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DANIEL KENTARO CORREIA OSAKI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DANIEL KENTARO  CORREIA OSAKI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pBdr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DANIEL KENTARO CORREIA OSAKI</w:t>
      </w:r>
    </w:p>
    <w:p>
      <w:pPr>
        <w:pStyle w:val="Normal"/>
        <w:ind w:hanging="0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NOME DO PROJETO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pBdr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pBdr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pBdr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pBdr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pBdr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386082491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rFonts w:ascii="Arial" w:hAnsi="Arial" w:cs="Arial"/>
        </w:rPr>
      </w:pPr>
      <w:r>
        <w:rPr/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rPr/>
      </w:pP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cs="Arial"/>
        </w:rPr>
        <w:t>Farei um site que dê para postar produtos para venda online, por mais que já haver muitos outros como exemplos, Amazon, EBay, o Facebook Marketplace, etc. A diferença será: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Arial"/>
        </w:rP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Arial"/>
        </w:rPr>
        <w:t>Foco no que realmente importa: Seus produtos! A paleta escura do nosso site faz com que seus produtos se destaquem, criando um ambiente visual limpo e profissional que os valoriza.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Arial"/>
        </w:rPr>
        <w:t>Funcionalidades completas para vendas online: Tudo o que você precisa para vender seus produtos com sucesso, desde a criação de anúncios até o gerenciamento de pedidos e pagamentos.</w:t>
      </w:r>
    </w:p>
    <w:p>
      <w:pPr>
        <w:pStyle w:val="ListParagraph"/>
        <w:numPr>
          <w:ilvl w:val="0"/>
          <w:numId w:val="4"/>
        </w:numPr>
        <w:pBdr/>
        <w:spacing w:lineRule="auto" w:line="360" w:before="0" w:after="0"/>
        <w:contextualSpacing/>
        <w:jc w:val="both"/>
        <w:rPr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Facilidade de uso: Nossa plataforma é intuitiva e fácil de usar, mesmo para quem não tem experiência com vendas online.</w:t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pBdr/>
        <w:spacing w:lineRule="auto" w:line="240"/>
        <w:ind w:left="2127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pBdr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pBdr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pBdr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pBdr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16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pBdr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Smbolosdenumerao">
    <w:name w:val="Símbolos de numeração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16</Pages>
  <Words>493</Words>
  <Characters>2825</Characters>
  <CharactersWithSpaces>3311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2024-04-04T11:37:08Z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