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  <w:sz w:val="22"/>
                <w:szCs w:val="22"/>
                <w:lang w:eastAsia="zh-CN"/>
              </w:rPr>
              <w:t>Daniel Kentaro</w:t>
            </w:r>
            <w:r>
              <w:rPr>
                <w:rFonts w:cs="Arial" w:ascii="Arial" w:hAnsi="Arial"/>
              </w:rPr>
              <w:t xml:space="preserve">                                                                 Nº 06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 (S) (45) 998514479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E-MAIL DANIEL190207@GMAIL.COM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CURSO: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TURMA: 2°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 Projeto de e-commerce ou entregas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Times New Roman" w:cs="Arial"/>
                <w:color w:val="auto"/>
                <w:kern w:val="0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2"/>
                <w:lang w:val="pt-BR" w:eastAsia="zh-CN" w:bidi="ar-SA"/>
              </w:rPr>
              <w:t>Eu estou planejando criar um site de e-commerce ou de entregas, eu ainda tenho que ver o que eu vou fazer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Eu estou querendo fazer esse site para me testar no futuro, </w:t>
            </w:r>
            <w:r>
              <w:rPr>
                <w:rFonts w:cs="Arial" w:ascii="Arial" w:hAnsi="Arial"/>
              </w:rPr>
              <w:t>então eu irei tentar utilizar de tudo que eu vi no curso para fazer esse projeto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5"/>
        <w:gridCol w:w="2486"/>
        <w:gridCol w:w="1744"/>
      </w:tblGrid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LibreOffice/6.4.7.2$Linux_X86_64 LibreOffice_project/40$Build-2</Application>
  <Pages>4</Pages>
  <Words>266</Words>
  <Characters>1501</Characters>
  <CharactersWithSpaces>1943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2023-06-26T09:36:06Z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