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t>Above marker</ns0:t>
      </ns0:r>
    </ns0:p>
    <ns0:p>
      <ns0:pPr>
        <ns0:pStyle ns0:val="Other"/>
        <ns0:sectPr>
          <ns0:pgSz ns0:w="11906" ns0:h="16838"/>
          <ns0:pgMar ns0:top="1440" ns0:bottom="1440" ns0:left="1440" ns0:right="1440"/>
        </ns0:sectPr>
        <ns0:spacing ns0:after="240"/>
        <ns0:contextualSpacing/>
      </ns0:pPr>
      <ns0:r>
        <ns0:t>Boundary marker</ns0:t>
      </ns0:r>
    </ns0:p>
    <ns0:p>
      <ns0:pPr>
        <ns0:pStyle ns0:val="Normal"/>
        <ns0:spacing ns0:before="0"/>
      </ns0:pPr>
      <ns0:r>
        <ns0:t>Below marker</ns0:t>
      </ns0:r>
    </ns0:p>
    <ns0:sectPr>
      <ns0:type ns0:val="continuous"/>
      <ns0:pgSz ns0:w="11906" ns0:h="16838"/>
      <ns0:pgMar ns0:top="1440" ns0:bottom="1440" ns0:left="1440" ns0:right="144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