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0" w:line="240" w:lineRule="auto"/>
        <w:rPr>
          <w:rFonts w:ascii="Tahoma" w:hAnsi="Tahoma"/>
          <w:sz w:val="20"/>
        </w:rPr>
      </w:pPr>
      <w:r>
        <w:rPr>
          <w:rFonts w:ascii="Tahoma" w:hAnsi="Tahoma"/>
          <w:sz w:val="20"/>
        </w:rPr>
        <w:t>Body marker</w:t>
      </w:r>
    </w:p>
    <w:sectPr>
      <w:headerReference w:type="default" r:id="header"/>
      <w:pgSz w:w="11906" w:h="16838"/>
      <w:pgMar w:top="400" w:bottom="1440" w:left="1440" w:right="1440" w:header="400"/>
    </w:sectPr>
  </w:body>
</w:document>
</file>

<file path=word/header1.xml><?xml version="1.0" encoding="utf-8"?>
<w:hdr xmlns:w="http://schemas.openxmlformats.org/wordprocessingml/2006/main" xmlns:wp="http://schemas.openxmlformats.org/drawingml/2006/wordprocessingDrawing" xmlns:a="http://schemas.openxmlformats.org/drawingml/2006/main" xmlns:wpg="http://schemas.microsoft.com/office/word/2010/wordprocessingGroup" xmlns:wps="http://schemas.microsoft.com/office/word/2010/wordprocessingShape" xmlns:mc="http://schemas.openxmlformats.org/markup-compatibility/2006">
  <w:p>
    <w:pPr>
      <w:spacing w:before="0" w:after="0" w:line="240" w:lineRule="auto"/>
      <w:rPr>
        <w:rFonts w:ascii="Tahoma" w:hAnsi="Tahoma"/>
        <w:sz w:val="20"/>
      </w:rPr>
    </w:pPr>
    <w:r>
      <w:rPr>
        <w:rFonts w:ascii="Tahoma" w:hAnsi="Tahoma"/>
        <w:sz w:val="20"/>
      </w:rPr>
      <mc:AlternateContent>
        <mc:Choice Requires="wpg">
          <w:drawing>
            <wp:inline distT="0" distB="0" distL="0" distR="0">
              <wp:extent cx="6350000" cy="508000"/>
              <wp:effectExtent l="0" t="0" r="0" b="0"/>
              <wp:docPr id="1" name="Generated canvas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350000" cy="508000"/>
                        <a:chOff x="0" y="0"/>
                        <a:chExt cx="6350000" cy="508000"/>
                      </a:xfrm>
                    </wpg:grpSpPr>
                    <wps:wsp>
                      <wps:cNvPr id="2" name="Blue rectangle"/>
                      <wps:cNvSpPr/>
                      <wps:spPr>
                        <a:xfrm>
                          <a:off x="0" y="0"/>
                          <a:ext cx="6350000" cy="508000"/>
                        </a:xfrm>
                        <a:prstGeom prst="rect">
                          <a:avLst/>
                        </a:prstGeom>
                        <a:solidFill>
                          <a:srgbClr val="4477AA"/>
                        </a:solidFill>
                        <a:ln>
                          <a:noFill/>
                        </a:ln>
                      </wps:spPr>
                      <wps:bodyPr/>
                    </wps:wsp>
                  </wpg:wgp>
                </a:graphicData>
              </a:graphic>
            </wp:inline>
          </w:drawing>
        </mc:Choice>
        <mc:Fallback/>
      </mc:AlternateContent>
    </w:r>
  </w:p>
</w:hdr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Relationships xmlns="http://schemas.openxmlformats.org/package/2006/relationships"><Relationship Id="header" Type="http://schemas.openxmlformats.org/officeDocument/2006/relationships/header" Target="header1.xml"/></Relationships>
</file>