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marker</w:t>
      </w:r>
    </w:p>
    <w:tbl>
      <w:tblPr>
        <w:tblW w:w="9000" w:type="dxa"/>
        <w:tblLayout w:type="fixed"/>
      </w:tblPr>
      <w:tblGrid>
        <w:gridCol w:w="1000"/>
        <w:gridCol w:w="8000"/>
      </w:tblGrid>
      <w:tr>
        <w:tc>
          <w:tcPr>
            <w:tcW w:w="1000" w:type="dxa"/>
            <w:tcMar>
              <w:top w:w="0" w:type="dxa"/>
              <w:bottom w:w="0" w:type="dxa"/>
            </w:tcMar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8000" w:type="dxa"/>
            <w:tcMar>
              <w:top w:w="0" w:type="dxa"/>
              <w:bottom w:w="0" w:type="dxa"/>
            </w:tcMar>
            <w:vAlign w:val="top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Table marker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Second line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marker</w:t>
      </w:r>
    </w:p>
    <w:sectPr>
      <w:pgSz w:w="11906" w:h="16838"/>
      <w:pgMar w:top="1440" w:bottom="1440" w:left="1440" w:right="1440"/>
    </w:sectPr>
  </w:body>
</w:document>
</file>