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marker</w:t>
      </w:r>
    </w:p>
    <w:tbl>
      <w:tblPr>
        <w:tblW w:w="9000" w:type="dxa"/>
        <w:tblLayout w:type="fixed"/>
      </w:tblPr>
      <w:tblGrid>
        <w:gridCol w:w="1000"/>
        <w:gridCol w:w="8000"/>
      </w:tblGrid>
      <w:tr>
        <w:tc>
          <w:tcPr>
            <w:tcW w:w="1000" w:type="dxa"/>
            <w:tcMar>
              <w:top w:w="75" w:type="dxa"/>
              <w:bottom w:w="0" w:type="dxa"/>
            </w:tcMar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8000" w:type="dxa"/>
            <w:tcMar>
              <w:top w:w="0" w:type="dxa"/>
              <w:bottom w:w="0" w:type="dxa"/>
            </w:tcMar>
            <w:vAlign w:val="top"/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Table marker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Second line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marker</w:t>
      </w:r>
    </w:p>
    <w:sectPr>
      <w:pgSz w:w="11906" w:h="16838"/>
      <w:pgMar w:top="1440" w:bottom="1440" w:left="1440" w:right="1440"/>
    </w:sectPr>
  </w:body>
</w:document>
</file>