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Above marker</w:t>
      </w:r>
    </w:p>
    <w:tbl>
      <w:tblPr>
        <w:tblpPr w:vertAnchor="text" w:tblpY="1" w:leftFromText="180" w:rightFromText="180"/>
        <w:tblW w:w="4000" w:type="dxa"/>
        <w:tblLayout w:type="fixed"/>
      </w:tblPr>
      <w:tblGrid>
        <w:gridCol w:w="4000"/>
      </w:tblGrid>
      <w:tr>
        <w:trPr>
          <w:trHeight w:val="600"/>
        </w:trPr>
        <w:tc>
          <w:tcPr>
            <w:tcW w:w="4000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Table marker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Address marker</w:t>
      </w:r>
      <w:r>
        <w:rPr>
          <w:rFonts w:ascii="Times New Roman" w:hAnsi="Times New Roman"/>
          <w:sz w:val="28"/>
        </w:rPr>
        <w:br w:type="textWrapping" w:clear="all"/>
      </w: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