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Above marker</w:t>
      </w:r>
    </w:p>
    <w:tbl>
      <w:tblPr>
        <w:tblpPr w:vertAnchor="text" w:tblpY="1" w:leftFromText="180" w:rightFromText="180"/>
        <w:tblW w:w="4000" w:type="dxa"/>
        <w:tblLayout w:type="fixed"/>
      </w:tblPr>
      <w:tblGrid>
        <w:gridCol w:w="4000"/>
      </w:tblGrid>
      <w:tr>
        <w:trPr>
          <w:trHeight w:val="800"/>
        </w:trPr>
        <w:tc>
          <w:tcPr>
            <w:tcW w:w="4000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Table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Address marker</w:t>
      </w:r>
      <w:r>
        <w:rPr>
          <w:rFonts w:ascii="Times New Roman" w:hAnsi="Times New Roman"/>
          <w:sz w:val="28"/>
        </w:rPr>
        <w:br w:type="textWrapping" w:clear="all"/>
      </w: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