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t>Body marker</w:t>
      </w:r>
    </w:p>
    <w:sectPr>
      <w:headerReference w:type="default" r:id="header"/>
      <w:pgSz w:w="11906" w:h="16838"/>
      <w:pgMar w:top="400" w:bottom="1440" w:left="1440" w:right="1440" w:header="400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mc="http://schemas.openxmlformats.org/markup-compatibility/2006">
  <w:p>
    <w:pPr>
      <w:spacing w:before="0" w:after="0" w:line="240" w:lineRule="auto"/>
      <w:rPr>
        <w:rFonts w:ascii="Tahoma" w:hAnsi="Tahoma"/>
        <w:sz w:val="20"/>
      </w:rPr>
    </w:pPr>
    <w:r>
      <w:rPr>
        <w:rFonts w:ascii="Tahoma" w:hAnsi="Tahoma"/>
        <w:sz w:val="20"/>
      </w:rPr>
      <mc:AlternateContent>
        <mc:Choice Requires="wpg">
          <w:drawing>
            <wp:inline distT="0" distB="0" distL="0" distR="0">
              <wp:extent cx="6350000" cy="508000"/>
              <wp:effectExtent l="0" t="0" r="0" b="0"/>
              <wp:docPr id="1" name="Generated canvas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50000" cy="508000"/>
                        <a:chOff x="0" y="0"/>
                        <a:chExt cx="6350000" cy="508000"/>
                      </a:xfrm>
                    </wpg:grpSpPr>
                    <wps:wsp>
                      <wps:cNvPr id="2" name="Blue rectangle"/>
                      <wps:cNvSpPr/>
                      <wps:spPr>
                        <a:xfrm>
                          <a:off x="0" y="0"/>
                          <a:ext cx="6350000" cy="508000"/>
                        </a:xfrm>
                        <a:prstGeom prst="rect">
                          <a:avLst/>
                        </a:prstGeom>
                        <a:solidFill>
                          <a:srgbClr val="4477AA"/>
                        </a:solidFill>
                        <a:ln>
                          <a:noFill/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/>
      </mc:AlternateContent>
    </w:r>
    <w:r>
      <w:rPr>
        <w:rFonts w:ascii="Tahoma" w:hAnsi="Tahoma"/>
        <w:sz w:val="20"/>
      </w:rPr>
      <w:tab/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