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marker</w:t>
      </w:r>
    </w:p>
    <w:tbl>
      <w:tblPr>
        <w:tblW w:w="9000" w:type="dxa"/>
        <w:tblLayout w:type="fixed"/>
      </w:tblPr>
      <w:tblGrid>
        <w:gridCol w:w="1000"/>
        <w:gridCol w:w="8000"/>
      </w:tblGrid>
      <w:tr>
        <w:tc>
          <w:tcPr>
            <w:tcW w:w="1000" w:type="dxa"/>
            <w:tcMar>
              <w:top w:w="0" w:type="dxa"/>
              <w:bottom w:w="0" w:type="dxa"/>
            </w:tcMar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8000" w:type="dxa"/>
            <w:tcMar>
              <w:top w:w="0" w:type="dxa"/>
              <w:bottom w:w="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Table marker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Second line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marker</w:t>
      </w:r>
    </w:p>
    <w:sectPr>
      <w:pgSz w:w="11906" w:h="16838"/>
      <w:pgMar w:top="1440" w:bottom="1440" w:left="1440" w:right="1440"/>
    </w:sectPr>
  </w:body>
</w:document>
</file>