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marker</w:t>
      </w:r>
    </w:p>
    <w:tbl>
      <w:tblPr>
        <w:tblW w:w="9000" w:type="dxa"/>
        <w:tblLayout w:type="fixed"/>
      </w:tblPr>
      <w:tblGrid>
        <w:gridCol w:w="1000"/>
        <w:gridCol w:w="8000"/>
      </w:tblGrid>
      <w:tr>
        <w:tc>
          <w:tcPr>
            <w:tcW w:w="1000" w:type="dxa"/>
            <w:tcMar>
              <w:top w:w="75" w:type="dxa"/>
              <w:bottom w:w="0" w:type="dxa"/>
            </w:tcMar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8000" w:type="dxa"/>
            <w:tcMar>
              <w:top w:w="0" w:type="dxa"/>
              <w:bottom w:w="0" w:type="dxa"/>
            </w:tcMar>
            <w:vAlign w:val="top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Second line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marker</w:t>
      </w:r>
    </w:p>
    <w:sectPr>
      <w:pgSz w:w="11906" w:h="16838"/>
      <w:pgMar w:top="1440" w:bottom="1440" w:left="1440" w:right="1440"/>
    </w:sectPr>
  </w:body>
</w:document>
</file>