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Banking Monitor</w:t>
      </w:r>
    </w:p>
    <w:p>
      <w:r>
        <w:rPr>
          <w:i/>
          <w:color w:val="555B63"/>
          <w:sz w:val="26"/>
        </w:rPr>
        <w:t>What the Indus Equity site is, what we rebuilt, where every number comes from, and what happens next</w:t>
      </w:r>
    </w:p>
    <w:p>
      <w:r>
        <w:rPr>
          <w:color w:val="555B63"/>
          <w:sz w:val="19"/>
        </w:rPr>
        <w:t>Written 16 October 2026 · plain-English guide · project folder D:\Projects\Bankanalysis</w:t>
      </w:r>
    </w:p>
    <w:p>
      <w:pPr>
        <w:pStyle w:val="Heading1"/>
      </w:pPr>
      <w:r>
        <w:t>The short version</w:t>
      </w:r>
    </w:p>
    <w:p>
      <w:pPr>
        <w:pStyle w:val="ListBullet"/>
      </w:pPr>
      <w:r>
        <w:rPr>
          <w:b/>
        </w:rPr>
        <w:t>Indus Equity</w:t>
      </w:r>
      <w:r>
        <w:rPr>
          <w:b w:val="0"/>
        </w:rPr>
        <w:t xml:space="preserve"> (indusequity.com/reports.html) is a Mumbai advisory firm that publishes about 100–115 PDF reports on Indian banks and non-bank lenders. They are PowerPoint slides saved as PDFs.</w:t>
      </w:r>
    </w:p>
    <w:p>
      <w:pPr>
        <w:pStyle w:val="ListBullet"/>
      </w:pPr>
      <w:r>
        <w:rPr>
          <w:b/>
        </w:rPr>
        <w:t>They collect no data of their own.</w:t>
      </w:r>
      <w:r>
        <w:rPr>
          <w:b w:val="0"/>
        </w:rPr>
        <w:t xml:space="preserve"> Every chart is either RBI data ("Source: RBI") or a company's own published results ("Source: Company"). All of it is free and public.</w:t>
      </w:r>
    </w:p>
    <w:p>
      <w:pPr>
        <w:pStyle w:val="ListBullet"/>
      </w:pPr>
      <w:r>
        <w:rPr>
          <w:b/>
        </w:rPr>
        <w:t>We rebuilt almost all of it</w:t>
      </w:r>
      <w:r>
        <w:rPr>
          <w:b w:val="0"/>
        </w:rPr>
        <w:t xml:space="preserve"> as one website, the India Banking Monitor, from the same public sources. Where we can compare, our numbers match theirs exactly (for example HDFC Bank, Bajaj Finance, Shriram Finance, and the rural/urban/metro shares).</w:t>
      </w:r>
    </w:p>
    <w:p>
      <w:pPr>
        <w:pStyle w:val="ListBullet"/>
      </w:pPr>
      <w:r>
        <w:rPr>
          <w:b/>
        </w:rPr>
        <w:t>We also added things they don't have</w:t>
      </w:r>
      <w:r>
        <w:rPr>
          <w:b w:val="0"/>
        </w:rPr>
        <w:t>: inflation-adjusted growth, how far RBI rate cuts reached borrowers, funding pressure, card market concentration, valuations over time, and a searchable multi-page site instead of 100 PDFs.</w:t>
      </w:r>
    </w:p>
    <w:p>
      <w:pPr>
        <w:pStyle w:val="ListBullet"/>
      </w:pPr>
      <w:r>
        <w:rPr>
          <w:b/>
        </w:rPr>
        <w:t>A few things are still missing</w:t>
      </w:r>
      <w:r>
        <w:rPr>
          <w:b w:val="0"/>
        </w:rPr>
        <w:t>: loan mix by product, branch counts, and bad-loan movement tables (these live only inside company slide decks and annual reports).</w:t>
      </w:r>
    </w:p>
    <w:p>
      <w:pPr>
        <w:pStyle w:val="ListBullet"/>
      </w:pPr>
      <w:r>
        <w:rPr>
          <w:b/>
        </w:rPr>
        <w:t>It updates itself.</w:t>
      </w:r>
      <w:r>
        <w:rPr>
          <w:b w:val="0"/>
        </w:rPr>
        <w:t xml:space="preserve"> Every evening at 19:30 your PC downloads any new data, recalculates everything and rebuilds the website file. You don't have to do anything.</w:t>
      </w:r>
    </w:p>
    <w:p>
      <w:pPr>
        <w:pStyle w:val="Heading1"/>
      </w:pPr>
      <w:r>
        <w:t>1. What the Indus Equity site is</w:t>
      </w:r>
    </w:p>
    <w:p>
      <w:r>
        <w:rPr>
          <w:b w:val="0"/>
        </w:rPr>
        <w:t>The reports page is not a live dashboard. It is a library of static PDF files, refreshed every quarter (company reports) or every month (RBI reports). Each PDF looks like a set of slides with Excel-style tables and charts.</w:t>
      </w:r>
    </w:p>
    <w:p>
      <w:pPr>
        <w:pStyle w:val="Heading2"/>
      </w:pPr>
      <w:r>
        <w:t>Their eight report types</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D3B6F"/>
          </w:tcPr>
          <w:p>
            <w:r/>
            <w:r>
              <w:rPr>
                <w:b/>
                <w:color w:val="FFFFFF"/>
                <w:sz w:val="20"/>
              </w:rPr>
              <w:t>Report type</w:t>
            </w:r>
          </w:p>
        </w:tc>
        <w:tc>
          <w:tcPr>
            <w:tcW w:type="dxa" w:w="1474"/>
            <w:shd w:val="clear" w:color="auto" w:fill="1D3B6F"/>
          </w:tcPr>
          <w:p>
            <w:r/>
            <w:r>
              <w:rPr>
                <w:b/>
                <w:color w:val="FFFFFF"/>
                <w:sz w:val="20"/>
              </w:rPr>
              <w:t>How many</w:t>
            </w:r>
          </w:p>
        </w:tc>
        <w:tc>
          <w:tcPr>
            <w:tcW w:type="dxa" w:w="5386"/>
            <w:shd w:val="clear" w:color="auto" w:fill="1D3B6F"/>
          </w:tcPr>
          <w:p>
            <w:r/>
            <w:r>
              <w:rPr>
                <w:b/>
                <w:color w:val="FFFFFF"/>
                <w:sz w:val="20"/>
              </w:rPr>
              <w:t>What it shows</w:t>
            </w:r>
          </w:p>
        </w:tc>
      </w:tr>
      <w:tr>
        <w:tc>
          <w:tcPr>
            <w:tcW w:type="dxa" w:w="2551"/>
          </w:tcPr>
          <w:p>
            <w:r>
              <w:rPr>
                <w:sz w:val="20"/>
              </w:rPr>
            </w:r>
            <w:r>
              <w:rPr>
                <w:b w:val="0"/>
                <w:sz w:val="20"/>
              </w:rPr>
              <w:t>Bank results &amp; snapshots</w:t>
            </w:r>
          </w:p>
        </w:tc>
        <w:tc>
          <w:tcPr>
            <w:tcW w:type="dxa" w:w="1474"/>
          </w:tcPr>
          <w:p>
            <w:r>
              <w:rPr>
                <w:sz w:val="20"/>
              </w:rPr>
            </w:r>
            <w:r>
              <w:rPr>
                <w:b w:val="0"/>
                <w:sz w:val="20"/>
              </w:rPr>
              <w:t>40 banks</w:t>
            </w:r>
          </w:p>
        </w:tc>
        <w:tc>
          <w:tcPr>
            <w:tcW w:type="dxa" w:w="5386"/>
          </w:tcPr>
          <w:p>
            <w:r>
              <w:rPr>
                <w:sz w:val="20"/>
              </w:rPr>
            </w:r>
            <w:r>
              <w:rPr>
                <w:b w:val="0"/>
                <w:sz w:val="20"/>
              </w:rPr>
              <w:t>Each bank's income, costs, profit, bad loans, capital, deposits, loans, CASA (cheap deposits), loan mix, branches and price-to-book, from FY21 to the latest quarter</w:t>
            </w:r>
          </w:p>
        </w:tc>
      </w:tr>
      <w:tr>
        <w:tc>
          <w:tcPr>
            <w:tcW w:type="dxa" w:w="2551"/>
          </w:tcPr>
          <w:p>
            <w:r>
              <w:rPr>
                <w:sz w:val="20"/>
              </w:rPr>
            </w:r>
            <w:r>
              <w:rPr>
                <w:b w:val="0"/>
                <w:sz w:val="20"/>
              </w:rPr>
              <w:t>NBFC &amp; HFC results &amp; snapshots</w:t>
            </w:r>
          </w:p>
        </w:tc>
        <w:tc>
          <w:tcPr>
            <w:tcW w:type="dxa" w:w="1474"/>
          </w:tcPr>
          <w:p>
            <w:r>
              <w:rPr>
                <w:sz w:val="20"/>
              </w:rPr>
            </w:r>
            <w:r>
              <w:rPr>
                <w:b w:val="0"/>
                <w:sz w:val="20"/>
              </w:rPr>
              <w:t>33–36 companies</w:t>
            </w:r>
          </w:p>
        </w:tc>
        <w:tc>
          <w:tcPr>
            <w:tcW w:type="dxa" w:w="5386"/>
          </w:tcPr>
          <w:p>
            <w:r>
              <w:rPr>
                <w:sz w:val="20"/>
              </w:rPr>
            </w:r>
            <w:r>
              <w:rPr>
                <w:b w:val="0"/>
                <w:sz w:val="20"/>
              </w:rPr>
              <w:t>The same for non-bank lenders and housing finance companies, plus AUM (loans managed), stage 3 (bad loans), borrowing cost</w:t>
            </w:r>
          </w:p>
        </w:tc>
      </w:tr>
      <w:tr>
        <w:tc>
          <w:tcPr>
            <w:tcW w:type="dxa" w:w="2551"/>
          </w:tcPr>
          <w:p>
            <w:r>
              <w:rPr>
                <w:sz w:val="20"/>
              </w:rPr>
            </w:r>
            <w:r>
              <w:rPr>
                <w:b w:val="0"/>
                <w:sz w:val="20"/>
              </w:rPr>
              <w:t>Peer comparisons</w:t>
            </w:r>
          </w:p>
        </w:tc>
        <w:tc>
          <w:tcPr>
            <w:tcW w:type="dxa" w:w="1474"/>
          </w:tcPr>
          <w:p>
            <w:r>
              <w:rPr>
                <w:sz w:val="20"/>
              </w:rPr>
            </w:r>
            <w:r>
              <w:rPr>
                <w:b w:val="0"/>
                <w:sz w:val="20"/>
              </w:rPr>
              <w:t>5</w:t>
            </w:r>
          </w:p>
        </w:tc>
        <w:tc>
          <w:tcPr>
            <w:tcW w:type="dxa" w:w="5386"/>
          </w:tcPr>
          <w:p>
            <w:r>
              <w:rPr>
                <w:sz w:val="20"/>
              </w:rPr>
            </w:r>
            <w:r>
              <w:rPr>
                <w:b w:val="0"/>
                <w:sz w:val="20"/>
              </w:rPr>
              <w:t>Private banks, PSU banks, small finance banks, NBFCs and HFCs side by side</w:t>
            </w:r>
          </w:p>
        </w:tc>
      </w:tr>
      <w:tr>
        <w:tc>
          <w:tcPr>
            <w:tcW w:type="dxa" w:w="2551"/>
          </w:tcPr>
          <w:p>
            <w:r>
              <w:rPr>
                <w:sz w:val="20"/>
              </w:rPr>
            </w:r>
            <w:r>
              <w:rPr>
                <w:b w:val="0"/>
                <w:sz w:val="20"/>
              </w:rPr>
              <w:t>Quarterly compendium</w:t>
            </w:r>
          </w:p>
        </w:tc>
        <w:tc>
          <w:tcPr>
            <w:tcW w:type="dxa" w:w="1474"/>
          </w:tcPr>
          <w:p>
            <w:r>
              <w:rPr>
                <w:sz w:val="20"/>
              </w:rPr>
            </w:r>
            <w:r>
              <w:rPr>
                <w:b w:val="0"/>
                <w:sz w:val="20"/>
              </w:rPr>
              <w:t>2</w:t>
            </w:r>
          </w:p>
        </w:tc>
        <w:tc>
          <w:tcPr>
            <w:tcW w:type="dxa" w:w="5386"/>
          </w:tcPr>
          <w:p>
            <w:r>
              <w:rPr>
                <w:sz w:val="20"/>
              </w:rPr>
            </w:r>
            <w:r>
              <w:rPr>
                <w:b w:val="0"/>
                <w:sz w:val="20"/>
              </w:rPr>
              <w:t>All snapshots in one 565-page PDF, with a market-cap table, PSU bank yields and bad-loan movement</w:t>
            </w:r>
          </w:p>
        </w:tc>
      </w:tr>
      <w:tr>
        <w:tc>
          <w:tcPr>
            <w:tcW w:type="dxa" w:w="2551"/>
          </w:tcPr>
          <w:p>
            <w:r>
              <w:rPr>
                <w:sz w:val="20"/>
              </w:rPr>
            </w:r>
            <w:r>
              <w:rPr>
                <w:b w:val="0"/>
                <w:sz w:val="20"/>
              </w:rPr>
              <w:t>Sectoral deployment of credit</w:t>
            </w:r>
          </w:p>
        </w:tc>
        <w:tc>
          <w:tcPr>
            <w:tcW w:type="dxa" w:w="1474"/>
          </w:tcPr>
          <w:p>
            <w:r>
              <w:rPr>
                <w:sz w:val="20"/>
              </w:rPr>
            </w:r>
            <w:r>
              <w:rPr>
                <w:b w:val="0"/>
                <w:sz w:val="20"/>
              </w:rPr>
              <w:t>monthly</w:t>
            </w:r>
          </w:p>
        </w:tc>
        <w:tc>
          <w:tcPr>
            <w:tcW w:type="dxa" w:w="5386"/>
          </w:tcPr>
          <w:p>
            <w:r>
              <w:rPr>
                <w:sz w:val="20"/>
              </w:rPr>
            </w:r>
            <w:r>
              <w:rPr>
                <w:b w:val="0"/>
                <w:sz w:val="20"/>
              </w:rPr>
              <w:t>Which sectors banks lend to (farming, industry, services, home loans, cards…) and how fast each is growing</w:t>
            </w:r>
          </w:p>
        </w:tc>
      </w:tr>
      <w:tr>
        <w:tc>
          <w:tcPr>
            <w:tcW w:type="dxa" w:w="2551"/>
          </w:tcPr>
          <w:p>
            <w:r>
              <w:rPr>
                <w:sz w:val="20"/>
              </w:rPr>
            </w:r>
            <w:r>
              <w:rPr>
                <w:b w:val="0"/>
                <w:sz w:val="20"/>
              </w:rPr>
              <w:t>Lending &amp; deposit rates</w:t>
            </w:r>
          </w:p>
        </w:tc>
        <w:tc>
          <w:tcPr>
            <w:tcW w:type="dxa" w:w="1474"/>
          </w:tcPr>
          <w:p>
            <w:r>
              <w:rPr>
                <w:sz w:val="20"/>
              </w:rPr>
            </w:r>
            <w:r>
              <w:rPr>
                <w:b w:val="0"/>
                <w:sz w:val="20"/>
              </w:rPr>
              <w:t>monthly</w:t>
            </w:r>
          </w:p>
        </w:tc>
        <w:tc>
          <w:tcPr>
            <w:tcW w:type="dxa" w:w="5386"/>
          </w:tcPr>
          <w:p>
            <w:r>
              <w:rPr>
                <w:sz w:val="20"/>
              </w:rPr>
            </w:r>
            <w:r>
              <w:rPr>
                <w:b w:val="0"/>
                <w:sz w:val="20"/>
              </w:rPr>
              <w:t>Average loan and deposit rates by type of bank, and each bank's MCLR (its benchmark lending rate)</w:t>
            </w:r>
          </w:p>
        </w:tc>
      </w:tr>
      <w:tr>
        <w:tc>
          <w:tcPr>
            <w:tcW w:type="dxa" w:w="2551"/>
          </w:tcPr>
          <w:p>
            <w:r>
              <w:rPr>
                <w:sz w:val="20"/>
              </w:rPr>
            </w:r>
            <w:r>
              <w:rPr>
                <w:b w:val="0"/>
                <w:sz w:val="20"/>
              </w:rPr>
              <w:t>Credit/debit cards, ATMs, QR codes</w:t>
            </w:r>
          </w:p>
        </w:tc>
        <w:tc>
          <w:tcPr>
            <w:tcW w:type="dxa" w:w="1474"/>
          </w:tcPr>
          <w:p>
            <w:r>
              <w:rPr>
                <w:sz w:val="20"/>
              </w:rPr>
            </w:r>
            <w:r>
              <w:rPr>
                <w:b w:val="0"/>
                <w:sz w:val="20"/>
              </w:rPr>
              <w:t>monthly</w:t>
            </w:r>
          </w:p>
        </w:tc>
        <w:tc>
          <w:tcPr>
            <w:tcW w:type="dxa" w:w="5386"/>
          </w:tcPr>
          <w:p>
            <w:r>
              <w:rPr>
                <w:sz w:val="20"/>
              </w:rPr>
            </w:r>
            <w:r>
              <w:rPr>
                <w:b w:val="0"/>
                <w:sz w:val="20"/>
              </w:rPr>
              <w:t>Number of cards, spending and market share by bank</w:t>
            </w:r>
          </w:p>
        </w:tc>
      </w:tr>
      <w:tr>
        <w:tc>
          <w:tcPr>
            <w:tcW w:type="dxa" w:w="2551"/>
          </w:tcPr>
          <w:p>
            <w:r>
              <w:rPr>
                <w:sz w:val="20"/>
              </w:rPr>
            </w:r>
            <w:r>
              <w:rPr>
                <w:b w:val="0"/>
                <w:sz w:val="20"/>
              </w:rPr>
              <w:t>Distribution of credit &amp; deposits</w:t>
            </w:r>
          </w:p>
        </w:tc>
        <w:tc>
          <w:tcPr>
            <w:tcW w:type="dxa" w:w="1474"/>
          </w:tcPr>
          <w:p>
            <w:r>
              <w:rPr>
                <w:sz w:val="20"/>
              </w:rPr>
            </w:r>
            <w:r>
              <w:rPr>
                <w:b w:val="0"/>
                <w:sz w:val="20"/>
              </w:rPr>
              <w:t>yearly</w:t>
            </w:r>
          </w:p>
        </w:tc>
        <w:tc>
          <w:tcPr>
            <w:tcW w:type="dxa" w:w="5386"/>
          </w:tcPr>
          <w:p>
            <w:r>
              <w:rPr>
                <w:sz w:val="20"/>
              </w:rPr>
            </w:r>
            <w:r>
              <w:rPr>
                <w:b w:val="0"/>
                <w:sz w:val="20"/>
              </w:rPr>
              <w:t>How much is lent and deposited in rural, semi-urban, urban and metro areas, by state and by type of bank, since 2015</w:t>
            </w:r>
          </w:p>
        </w:tc>
      </w:tr>
    </w:tbl>
    <w:p/>
    <w:p>
      <w:pPr>
        <w:pStyle w:val="Heading2"/>
      </w:pPr>
      <w:r>
        <w:t>Where Indus gets its data</w:t>
      </w:r>
    </w:p>
    <w:p>
      <w:r>
        <w:rPr>
          <w:b w:val="0"/>
        </w:rPr>
        <w:t>Two places, both free:</w:t>
      </w:r>
    </w:p>
    <w:p>
      <w:pPr>
        <w:pStyle w:val="ListBullet"/>
      </w:pPr>
      <w:r>
        <w:rPr>
          <w:b/>
        </w:rPr>
        <w:t>The Reserve Bank of India (RBI)</w:t>
      </w:r>
      <w:r>
        <w:rPr>
          <w:b w:val="0"/>
        </w:rPr>
        <w:t xml:space="preserve"> publishes monthly Excel files (credit by sector, interest rates, card statistics) on rbi.org.in, and deeper tables on its database site data.rbi.org.in (called DBIE).</w:t>
      </w:r>
    </w:p>
    <w:p>
      <w:pPr>
        <w:pStyle w:val="ListBullet"/>
      </w:pPr>
      <w:r>
        <w:rPr>
          <w:b/>
        </w:rPr>
        <w:t>The companies themselves.</w:t>
      </w:r>
      <w:r>
        <w:rPr>
          <w:b w:val="0"/>
        </w:rPr>
        <w:t xml:space="preserve"> Every listed bank and NBFC must file its quarterly results with the stock exchange (NSE/BSE). They also publish an "investor presentation" (a slide deck) with extra detail such as CASA and loan mix. Share prices come from the exchange too.</w:t>
      </w:r>
    </w:p>
    <w:p>
      <w:pPr>
        <w:pStyle w:val="Heading1"/>
      </w:pPr>
      <w:r>
        <w:t>2. What we built</w:t>
      </w:r>
    </w:p>
    <w:p>
      <w:r>
        <w:rPr>
          <w:b w:val="0"/>
        </w:rPr>
        <w:t xml:space="preserve">The </w:t>
      </w:r>
      <w:r>
        <w:rPr>
          <w:b/>
        </w:rPr>
        <w:t>India Banking Monitor</w:t>
      </w:r>
      <w:r>
        <w:rPr>
          <w:b w:val="0"/>
        </w:rPr>
        <w:t xml:space="preserve"> is a single website file that opens in any browser. It has 11 pages plus an overview:</w:t>
      </w:r>
    </w:p>
    <w:tbl>
      <w:tblPr>
        <w:tblStyle w:val="TableGrid"/>
        <w:tblW w:type="auto" w:w="0"/>
        <w:jc w:val="center"/>
        <w:tblLook w:firstColumn="1" w:firstRow="1" w:lastColumn="0" w:lastRow="0" w:noHBand="0" w:noVBand="1" w:val="04A0"/>
      </w:tblPr>
      <w:tblGrid>
        <w:gridCol w:w="4706"/>
        <w:gridCol w:w="4706"/>
      </w:tblGrid>
      <w:tr>
        <w:tc>
          <w:tcPr>
            <w:tcW w:type="dxa" w:w="1814"/>
            <w:shd w:val="clear" w:color="auto" w:fill="1D3B6F"/>
          </w:tcPr>
          <w:p>
            <w:r/>
            <w:r>
              <w:rPr>
                <w:b/>
                <w:color w:val="FFFFFF"/>
                <w:sz w:val="20"/>
              </w:rPr>
              <w:t>Page</w:t>
            </w:r>
          </w:p>
        </w:tc>
        <w:tc>
          <w:tcPr>
            <w:tcW w:type="dxa" w:w="7597"/>
            <w:shd w:val="clear" w:color="auto" w:fill="1D3B6F"/>
          </w:tcPr>
          <w:p>
            <w:r/>
            <w:r>
              <w:rPr>
                <w:b/>
                <w:color w:val="FFFFFF"/>
                <w:sz w:val="20"/>
              </w:rPr>
              <w:t>What you'll find</w:t>
            </w:r>
          </w:p>
        </w:tc>
      </w:tr>
      <w:tr>
        <w:tc>
          <w:tcPr>
            <w:tcW w:type="dxa" w:w="1814"/>
          </w:tcPr>
          <w:p>
            <w:r>
              <w:rPr>
                <w:sz w:val="20"/>
              </w:rPr>
            </w:r>
            <w:r>
              <w:rPr>
                <w:b w:val="0"/>
                <w:sz w:val="20"/>
              </w:rPr>
              <w:t>Overview</w:t>
            </w:r>
          </w:p>
        </w:tc>
        <w:tc>
          <w:tcPr>
            <w:tcW w:type="dxa" w:w="7597"/>
          </w:tcPr>
          <w:p>
            <w:r>
              <w:rPr>
                <w:sz w:val="20"/>
              </w:rPr>
            </w:r>
            <w:r>
              <w:rPr>
                <w:b w:val="0"/>
                <w:sz w:val="20"/>
              </w:rPr>
              <w:t>Headline numbers and a contents list showing each page's latest figure and trend</w:t>
            </w:r>
          </w:p>
        </w:tc>
      </w:tr>
      <w:tr>
        <w:tc>
          <w:tcPr>
            <w:tcW w:type="dxa" w:w="1814"/>
          </w:tcPr>
          <w:p>
            <w:r>
              <w:rPr>
                <w:sz w:val="20"/>
              </w:rPr>
            </w:r>
            <w:r>
              <w:rPr>
                <w:b w:val="0"/>
                <w:sz w:val="20"/>
              </w:rPr>
              <w:t>Credit</w:t>
            </w:r>
          </w:p>
        </w:tc>
        <w:tc>
          <w:tcPr>
            <w:tcW w:type="dxa" w:w="7597"/>
          </w:tcPr>
          <w:p>
            <w:r>
              <w:rPr>
                <w:sz w:val="20"/>
              </w:rPr>
            </w:r>
            <w:r>
              <w:rPr>
                <w:b w:val="0"/>
                <w:sz w:val="20"/>
              </w:rPr>
              <w:t>Bank credit growth by sector and industry, growth after inflation</w:t>
            </w:r>
          </w:p>
        </w:tc>
      </w:tr>
      <w:tr>
        <w:tc>
          <w:tcPr>
            <w:tcW w:type="dxa" w:w="1814"/>
          </w:tcPr>
          <w:p>
            <w:r>
              <w:rPr>
                <w:sz w:val="20"/>
              </w:rPr>
            </w:r>
            <w:r>
              <w:rPr>
                <w:b w:val="0"/>
                <w:sz w:val="20"/>
              </w:rPr>
              <w:t>Deposits</w:t>
            </w:r>
          </w:p>
        </w:tc>
        <w:tc>
          <w:tcPr>
            <w:tcW w:type="dxa" w:w="7597"/>
          </w:tcPr>
          <w:p>
            <w:r>
              <w:rPr>
                <w:sz w:val="20"/>
              </w:rPr>
            </w:r>
            <w:r>
              <w:rPr>
                <w:b w:val="0"/>
                <w:sz w:val="20"/>
              </w:rPr>
              <w:t>Deposit growth vs loan growth, credit-to-deposit ratio, banks' government bond holdings</w:t>
            </w:r>
          </w:p>
        </w:tc>
      </w:tr>
      <w:tr>
        <w:tc>
          <w:tcPr>
            <w:tcW w:type="dxa" w:w="1814"/>
          </w:tcPr>
          <w:p>
            <w:r>
              <w:rPr>
                <w:sz w:val="20"/>
              </w:rPr>
            </w:r>
            <w:r>
              <w:rPr>
                <w:b w:val="0"/>
                <w:sz w:val="20"/>
              </w:rPr>
              <w:t>Rates</w:t>
            </w:r>
          </w:p>
        </w:tc>
        <w:tc>
          <w:tcPr>
            <w:tcW w:type="dxa" w:w="7597"/>
          </w:tcPr>
          <w:p>
            <w:r>
              <w:rPr>
                <w:sz w:val="20"/>
              </w:rPr>
            </w:r>
            <w:r>
              <w:rPr>
                <w:b w:val="0"/>
                <w:sz w:val="20"/>
              </w:rPr>
              <w:t>Loan and deposit rates, MCLR for every bank, how much of each repo change reached customers</w:t>
            </w:r>
          </w:p>
        </w:tc>
      </w:tr>
      <w:tr>
        <w:tc>
          <w:tcPr>
            <w:tcW w:type="dxa" w:w="1814"/>
          </w:tcPr>
          <w:p>
            <w:r>
              <w:rPr>
                <w:sz w:val="20"/>
              </w:rPr>
            </w:r>
            <w:r>
              <w:rPr>
                <w:b w:val="0"/>
                <w:sz w:val="20"/>
              </w:rPr>
              <w:t>Payments</w:t>
            </w:r>
          </w:p>
        </w:tc>
        <w:tc>
          <w:tcPr>
            <w:tcW w:type="dxa" w:w="7597"/>
          </w:tcPr>
          <w:p>
            <w:r>
              <w:rPr>
                <w:sz w:val="20"/>
              </w:rPr>
            </w:r>
            <w:r>
              <w:rPr>
                <w:b w:val="0"/>
                <w:sz w:val="20"/>
              </w:rPr>
              <w:t>Credit and debit cards, spending, ATMs, QR codes, market share and concentration</w:t>
            </w:r>
          </w:p>
        </w:tc>
      </w:tr>
      <w:tr>
        <w:tc>
          <w:tcPr>
            <w:tcW w:type="dxa" w:w="1814"/>
          </w:tcPr>
          <w:p>
            <w:r>
              <w:rPr>
                <w:sz w:val="20"/>
              </w:rPr>
            </w:r>
            <w:r>
              <w:rPr>
                <w:b w:val="0"/>
                <w:sz w:val="20"/>
              </w:rPr>
              <w:t>Regions</w:t>
            </w:r>
          </w:p>
        </w:tc>
        <w:tc>
          <w:tcPr>
            <w:tcW w:type="dxa" w:w="7597"/>
          </w:tcPr>
          <w:p>
            <w:r>
              <w:rPr>
                <w:sz w:val="20"/>
              </w:rPr>
            </w:r>
            <w:r>
              <w:rPr>
                <w:b w:val="0"/>
                <w:sz w:val="20"/>
              </w:rPr>
              <w:t>Rural / semi-urban / urban / metro split of credit and deposits, by state</w:t>
            </w:r>
          </w:p>
        </w:tc>
      </w:tr>
      <w:tr>
        <w:tc>
          <w:tcPr>
            <w:tcW w:type="dxa" w:w="1814"/>
          </w:tcPr>
          <w:p>
            <w:r>
              <w:rPr>
                <w:sz w:val="20"/>
              </w:rPr>
            </w:r>
            <w:r>
              <w:rPr>
                <w:b w:val="0"/>
                <w:sz w:val="20"/>
              </w:rPr>
              <w:t>Structure</w:t>
            </w:r>
          </w:p>
        </w:tc>
        <w:tc>
          <w:tcPr>
            <w:tcW w:type="dxa" w:w="7597"/>
          </w:tcPr>
          <w:p>
            <w:r>
              <w:rPr>
                <w:sz w:val="20"/>
              </w:rPr>
            </w:r>
            <w:r>
              <w:rPr>
                <w:b w:val="0"/>
                <w:sz w:val="20"/>
              </w:rPr>
              <w:t>Annual RBI survey (BSR): loans by interest-rate band, loan size, borrower type, and 10 years of history</w:t>
            </w:r>
          </w:p>
        </w:tc>
      </w:tr>
      <w:tr>
        <w:tc>
          <w:tcPr>
            <w:tcW w:type="dxa" w:w="1814"/>
          </w:tcPr>
          <w:p>
            <w:r>
              <w:rPr>
                <w:sz w:val="20"/>
              </w:rPr>
            </w:r>
            <w:r>
              <w:rPr>
                <w:b w:val="0"/>
                <w:sz w:val="20"/>
              </w:rPr>
              <w:t>Banks</w:t>
            </w:r>
          </w:p>
        </w:tc>
        <w:tc>
          <w:tcPr>
            <w:tcW w:type="dxa" w:w="7597"/>
          </w:tcPr>
          <w:p>
            <w:r>
              <w:rPr>
                <w:sz w:val="20"/>
              </w:rPr>
            </w:r>
            <w:r>
              <w:rPr>
                <w:b w:val="0"/>
                <w:sz w:val="20"/>
              </w:rPr>
              <w:t>Pick any of 40 banks: summary, tiles, charts, a result table in Indus's layout, and a peer table</w:t>
            </w:r>
          </w:p>
        </w:tc>
      </w:tr>
      <w:tr>
        <w:tc>
          <w:tcPr>
            <w:tcW w:type="dxa" w:w="1814"/>
          </w:tcPr>
          <w:p>
            <w:r>
              <w:rPr>
                <w:sz w:val="20"/>
              </w:rPr>
            </w:r>
            <w:r>
              <w:rPr>
                <w:b w:val="0"/>
                <w:sz w:val="20"/>
              </w:rPr>
              <w:t>NBFCs &amp; HFCs</w:t>
            </w:r>
          </w:p>
        </w:tc>
        <w:tc>
          <w:tcPr>
            <w:tcW w:type="dxa" w:w="7597"/>
          </w:tcPr>
          <w:p>
            <w:r>
              <w:rPr>
                <w:sz w:val="20"/>
              </w:rPr>
            </w:r>
            <w:r>
              <w:rPr>
                <w:b w:val="0"/>
                <w:sz w:val="20"/>
              </w:rPr>
              <w:t>The same for 36 non-bank and housing lenders</w:t>
            </w:r>
          </w:p>
        </w:tc>
      </w:tr>
      <w:tr>
        <w:tc>
          <w:tcPr>
            <w:tcW w:type="dxa" w:w="1814"/>
          </w:tcPr>
          <w:p>
            <w:r>
              <w:rPr>
                <w:sz w:val="20"/>
              </w:rPr>
            </w:r>
            <w:r>
              <w:rPr>
                <w:b w:val="0"/>
                <w:sz w:val="20"/>
              </w:rPr>
              <w:t>Valuations</w:t>
            </w:r>
          </w:p>
        </w:tc>
        <w:tc>
          <w:tcPr>
            <w:tcW w:type="dxa" w:w="7597"/>
          </w:tcPr>
          <w:p>
            <w:r>
              <w:rPr>
                <w:sz w:val="20"/>
              </w:rPr>
            </w:r>
            <w:r>
              <w:rPr>
                <w:b w:val="0"/>
                <w:sz w:val="20"/>
              </w:rPr>
              <w:t>Market value, price-to-book and price-to-earnings for all 76 companies</w:t>
            </w:r>
          </w:p>
        </w:tc>
      </w:tr>
      <w:tr>
        <w:tc>
          <w:tcPr>
            <w:tcW w:type="dxa" w:w="1814"/>
          </w:tcPr>
          <w:p>
            <w:r>
              <w:rPr>
                <w:sz w:val="20"/>
              </w:rPr>
            </w:r>
            <w:r>
              <w:rPr>
                <w:b w:val="0"/>
                <w:sz w:val="20"/>
              </w:rPr>
              <w:t>Sources</w:t>
            </w:r>
          </w:p>
        </w:tc>
        <w:tc>
          <w:tcPr>
            <w:tcW w:type="dxa" w:w="7597"/>
          </w:tcPr>
          <w:p>
            <w:r>
              <w:rPr>
                <w:sz w:val="20"/>
              </w:rPr>
            </w:r>
            <w:r>
              <w:rPr>
                <w:b w:val="0"/>
                <w:sz w:val="20"/>
              </w:rPr>
              <w:t>Where every dataset comes from and known caveats</w:t>
            </w:r>
          </w:p>
        </w:tc>
      </w:tr>
    </w:tbl>
    <w:p/>
    <w:p>
      <w:r>
        <w:rPr>
          <w:b w:val="0"/>
        </w:rPr>
        <w:t xml:space="preserve">Ways to get around: the top menu, the </w:t>
      </w:r>
      <w:r>
        <w:rPr>
          <w:b/>
        </w:rPr>
        <w:t>search box</w:t>
      </w:r>
      <w:r>
        <w:rPr>
          <w:b w:val="0"/>
        </w:rPr>
        <w:t xml:space="preserve"> (press / and type a bank name, ticker or chart name), the "On this page" strip, and Previous/Next links. Each page and each company has its own link, e.g. …#bank-SBIN.</w:t>
      </w:r>
    </w:p>
    <w:p>
      <w:pPr>
        <w:pStyle w:val="Heading1"/>
      </w:pPr>
      <w:r>
        <w:t>3. Indus vs ours, side by side</w:t>
      </w:r>
    </w:p>
    <w:p>
      <w:r>
        <w:rPr>
          <w:b w:val="0"/>
        </w:rPr>
        <w:t>Green = rebuilt, amber = partly, red = not yet, blue = only we have it.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948"/>
            <w:shd w:val="clear" w:color="auto" w:fill="1D3B6F"/>
          </w:tcPr>
          <w:p>
            <w:r/>
            <w:r>
              <w:rPr>
                <w:b/>
                <w:color w:val="FFFFFF"/>
                <w:sz w:val="20"/>
              </w:rPr>
              <w:t>Item</w:t>
            </w:r>
          </w:p>
        </w:tc>
        <w:tc>
          <w:tcPr>
            <w:tcW w:type="dxa" w:w="1247"/>
            <w:shd w:val="clear" w:color="auto" w:fill="1D3B6F"/>
          </w:tcPr>
          <w:p>
            <w:r/>
            <w:r>
              <w:rPr>
                <w:b/>
                <w:color w:val="FFFFFF"/>
                <w:sz w:val="20"/>
              </w:rPr>
              <w:t>Indus has it?</w:t>
            </w:r>
          </w:p>
        </w:tc>
        <w:tc>
          <w:tcPr>
            <w:tcW w:type="dxa" w:w="1020"/>
            <w:shd w:val="clear" w:color="auto" w:fill="1D3B6F"/>
          </w:tcPr>
          <w:p>
            <w:r/>
            <w:r>
              <w:rPr>
                <w:b/>
                <w:color w:val="FFFFFF"/>
                <w:sz w:val="20"/>
              </w:rPr>
              <w:t>Ours</w:t>
            </w:r>
          </w:p>
        </w:tc>
        <w:tc>
          <w:tcPr>
            <w:tcW w:type="dxa" w:w="4195"/>
            <w:shd w:val="clear" w:color="auto" w:fill="1D3B6F"/>
          </w:tcPr>
          <w:p>
            <w:r/>
            <w:r>
              <w:rPr>
                <w:b/>
                <w:color w:val="FFFFFF"/>
                <w:sz w:val="20"/>
              </w:rPr>
              <w:t>Notes</w:t>
            </w:r>
          </w:p>
        </w:tc>
      </w:tr>
      <w:tr>
        <w:tc>
          <w:tcPr>
            <w:tcW w:type="dxa" w:w="2948"/>
          </w:tcPr>
          <w:p>
            <w:r>
              <w:rPr>
                <w:sz w:val="20"/>
              </w:rPr>
            </w:r>
            <w:r>
              <w:rPr>
                <w:b w:val="0"/>
                <w:sz w:val="20"/>
              </w:rPr>
              <w:t>Bank quarterly results (40 banks)</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All 40 banks, June 2020 to Sept 2026. HDFC Bank Q4 FY26 matches Indus to the rupee.</w:t>
            </w:r>
          </w:p>
        </w:tc>
      </w:tr>
      <w:tr>
        <w:tc>
          <w:tcPr>
            <w:tcW w:type="dxa" w:w="2948"/>
          </w:tcPr>
          <w:p>
            <w:r>
              <w:rPr>
                <w:sz w:val="20"/>
              </w:rPr>
            </w:r>
            <w:r>
              <w:rPr>
                <w:b w:val="0"/>
                <w:sz w:val="20"/>
              </w:rPr>
              <w:t>NBFC / HFC results (36)</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All 36. Bajaj Finance and Shriram match Indus exactly for Q4 FY26 and FY26.</w:t>
            </w:r>
          </w:p>
        </w:tc>
      </w:tr>
      <w:tr>
        <w:tc>
          <w:tcPr>
            <w:tcW w:type="dxa" w:w="2948"/>
          </w:tcPr>
          <w:p>
            <w:r>
              <w:rPr>
                <w:sz w:val="20"/>
              </w:rPr>
            </w:r>
            <w:r>
              <w:rPr>
                <w:b w:val="0"/>
                <w:sz w:val="20"/>
              </w:rPr>
              <w:t>Ratios (NIM, cost-to-income, RoA, NPA, PCR, CET1…)</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Calculated from the filings. RoA and CET1 quirks in some banks' filings are corrected.</w:t>
            </w:r>
          </w:p>
        </w:tc>
      </w:tr>
      <w:tr>
        <w:tc>
          <w:tcPr>
            <w:tcW w:type="dxa" w:w="2948"/>
          </w:tcPr>
          <w:p>
            <w:r>
              <w:rPr>
                <w:sz w:val="20"/>
              </w:rPr>
            </w:r>
            <w:r>
              <w:rPr>
                <w:b w:val="0"/>
                <w:sz w:val="20"/>
              </w:rPr>
              <w:t>CASA, AUM, stage 3</w:t>
            </w:r>
          </w:p>
        </w:tc>
        <w:tc>
          <w:tcPr>
            <w:tcW w:type="dxa" w:w="1247"/>
          </w:tcPr>
          <w:p>
            <w:r>
              <w:rPr>
                <w:sz w:val="20"/>
              </w:rPr>
            </w:r>
            <w:r>
              <w:rPr>
                <w:b w:val="0"/>
                <w:sz w:val="20"/>
              </w:rPr>
              <w:t>Yes</w:t>
            </w:r>
          </w:p>
        </w:tc>
        <w:tc>
          <w:tcPr>
            <w:tcW w:type="dxa" w:w="1020"/>
            <w:shd w:val="clear" w:color="auto" w:fill="FBF0DC"/>
          </w:tcPr>
          <w:p>
            <w:r>
              <w:rPr>
                <w:sz w:val="20"/>
              </w:rPr>
            </w:r>
            <w:r>
              <w:rPr>
                <w:b w:val="0"/>
                <w:sz w:val="20"/>
              </w:rPr>
              <w:t>Partly</w:t>
            </w:r>
          </w:p>
        </w:tc>
        <w:tc>
          <w:tcPr>
            <w:tcW w:type="dxa" w:w="4195"/>
          </w:tcPr>
          <w:p>
            <w:r>
              <w:rPr>
                <w:sz w:val="20"/>
              </w:rPr>
            </w:r>
            <w:r>
              <w:rPr>
                <w:b w:val="0"/>
                <w:sz w:val="20"/>
              </w:rPr>
              <w:t>Read from investor presentations; a company shows them once its latest deck has been read (most have been).</w:t>
            </w:r>
          </w:p>
        </w:tc>
      </w:tr>
      <w:tr>
        <w:tc>
          <w:tcPr>
            <w:tcW w:type="dxa" w:w="2948"/>
          </w:tcPr>
          <w:p>
            <w:r>
              <w:rPr>
                <w:sz w:val="20"/>
              </w:rPr>
            </w:r>
            <w:r>
              <w:rPr>
                <w:b w:val="0"/>
                <w:sz w:val="20"/>
              </w:rPr>
              <w:t>Loan mix by product</w:t>
            </w:r>
          </w:p>
        </w:tc>
        <w:tc>
          <w:tcPr>
            <w:tcW w:type="dxa" w:w="1247"/>
          </w:tcPr>
          <w:p>
            <w:r>
              <w:rPr>
                <w:sz w:val="20"/>
              </w:rPr>
            </w:r>
            <w:r>
              <w:rPr>
                <w:b w:val="0"/>
                <w:sz w:val="20"/>
              </w:rPr>
              <w:t>Yes</w:t>
            </w:r>
          </w:p>
        </w:tc>
        <w:tc>
          <w:tcPr>
            <w:tcW w:type="dxa" w:w="1020"/>
            <w:shd w:val="clear" w:color="auto" w:fill="F7E1DA"/>
          </w:tcPr>
          <w:p>
            <w:r>
              <w:rPr>
                <w:sz w:val="20"/>
              </w:rPr>
            </w:r>
            <w:r>
              <w:rPr>
                <w:b w:val="0"/>
                <w:sz w:val="20"/>
              </w:rPr>
              <w:t>No</w:t>
            </w:r>
          </w:p>
        </w:tc>
        <w:tc>
          <w:tcPr>
            <w:tcW w:type="dxa" w:w="4195"/>
          </w:tcPr>
          <w:p>
            <w:r>
              <w:rPr>
                <w:sz w:val="20"/>
              </w:rPr>
            </w:r>
            <w:r>
              <w:rPr>
                <w:b w:val="0"/>
                <w:sz w:val="20"/>
              </w:rPr>
              <w:t>Only in slide decks, in a different layout for each bank.</w:t>
            </w:r>
          </w:p>
        </w:tc>
      </w:tr>
      <w:tr>
        <w:tc>
          <w:tcPr>
            <w:tcW w:type="dxa" w:w="2948"/>
          </w:tcPr>
          <w:p>
            <w:r>
              <w:rPr>
                <w:sz w:val="20"/>
              </w:rPr>
            </w:r>
            <w:r>
              <w:rPr>
                <w:b w:val="0"/>
                <w:sz w:val="20"/>
              </w:rPr>
              <w:t>Branch counts</w:t>
            </w:r>
          </w:p>
        </w:tc>
        <w:tc>
          <w:tcPr>
            <w:tcW w:type="dxa" w:w="1247"/>
          </w:tcPr>
          <w:p>
            <w:r>
              <w:rPr>
                <w:sz w:val="20"/>
              </w:rPr>
            </w:r>
            <w:r>
              <w:rPr>
                <w:b w:val="0"/>
                <w:sz w:val="20"/>
              </w:rPr>
              <w:t>Yes</w:t>
            </w:r>
          </w:p>
        </w:tc>
        <w:tc>
          <w:tcPr>
            <w:tcW w:type="dxa" w:w="1020"/>
            <w:shd w:val="clear" w:color="auto" w:fill="F7E1DA"/>
          </w:tcPr>
          <w:p>
            <w:r>
              <w:rPr>
                <w:sz w:val="20"/>
              </w:rPr>
            </w:r>
            <w:r>
              <w:rPr>
                <w:b w:val="0"/>
                <w:sz w:val="20"/>
              </w:rPr>
              <w:t>No</w:t>
            </w:r>
          </w:p>
        </w:tc>
        <w:tc>
          <w:tcPr>
            <w:tcW w:type="dxa" w:w="4195"/>
          </w:tcPr>
          <w:p>
            <w:r>
              <w:rPr>
                <w:sz w:val="20"/>
              </w:rPr>
            </w:r>
            <w:r>
              <w:rPr>
                <w:b w:val="0"/>
                <w:sz w:val="20"/>
              </w:rPr>
              <w:t>Only in decks and annual reports.</w:t>
            </w:r>
          </w:p>
        </w:tc>
      </w:tr>
      <w:tr>
        <w:tc>
          <w:tcPr>
            <w:tcW w:type="dxa" w:w="2948"/>
          </w:tcPr>
          <w:p>
            <w:r>
              <w:rPr>
                <w:sz w:val="20"/>
              </w:rPr>
            </w:r>
            <w:r>
              <w:rPr>
                <w:b w:val="0"/>
                <w:sz w:val="20"/>
              </w:rPr>
              <w:t>Bad-loan movement (slippages, recoveries, write-offs)</w:t>
            </w:r>
          </w:p>
        </w:tc>
        <w:tc>
          <w:tcPr>
            <w:tcW w:type="dxa" w:w="1247"/>
          </w:tcPr>
          <w:p>
            <w:r>
              <w:rPr>
                <w:sz w:val="20"/>
              </w:rPr>
            </w:r>
            <w:r>
              <w:rPr>
                <w:b w:val="0"/>
                <w:sz w:val="20"/>
              </w:rPr>
              <w:t>Yes</w:t>
            </w:r>
          </w:p>
        </w:tc>
        <w:tc>
          <w:tcPr>
            <w:tcW w:type="dxa" w:w="1020"/>
            <w:shd w:val="clear" w:color="auto" w:fill="F7E1DA"/>
          </w:tcPr>
          <w:p>
            <w:r>
              <w:rPr>
                <w:sz w:val="20"/>
              </w:rPr>
            </w:r>
            <w:r>
              <w:rPr>
                <w:b w:val="0"/>
                <w:sz w:val="20"/>
              </w:rPr>
              <w:t>No</w:t>
            </w:r>
          </w:p>
        </w:tc>
        <w:tc>
          <w:tcPr>
            <w:tcW w:type="dxa" w:w="4195"/>
          </w:tcPr>
          <w:p>
            <w:r>
              <w:rPr>
                <w:sz w:val="20"/>
              </w:rPr>
            </w:r>
            <w:r>
              <w:rPr>
                <w:b w:val="0"/>
                <w:sz w:val="20"/>
              </w:rPr>
              <w:t>Only in annual reports and Q4 decks.</w:t>
            </w:r>
          </w:p>
        </w:tc>
      </w:tr>
      <w:tr>
        <w:tc>
          <w:tcPr>
            <w:tcW w:type="dxa" w:w="2948"/>
          </w:tcPr>
          <w:p>
            <w:r>
              <w:rPr>
                <w:sz w:val="20"/>
              </w:rPr>
            </w:r>
            <w:r>
              <w:rPr>
                <w:b w:val="0"/>
                <w:sz w:val="20"/>
              </w:rPr>
              <w:t>Peer comparisons</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Sortable peer tables for banks and NBFCs, filter by group.</w:t>
            </w:r>
          </w:p>
        </w:tc>
      </w:tr>
      <w:tr>
        <w:tc>
          <w:tcPr>
            <w:tcW w:type="dxa" w:w="2948"/>
          </w:tcPr>
          <w:p>
            <w:r>
              <w:rPr>
                <w:sz w:val="20"/>
              </w:rPr>
            </w:r>
            <w:r>
              <w:rPr>
                <w:b w:val="0"/>
                <w:sz w:val="20"/>
              </w:rPr>
              <w:t>Market cap / price-to-book</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Daily from NSE prices, plus history since March 2024 and P/E.</w:t>
            </w:r>
          </w:p>
        </w:tc>
      </w:tr>
      <w:tr>
        <w:tc>
          <w:tcPr>
            <w:tcW w:type="dxa" w:w="2948"/>
          </w:tcPr>
          <w:p>
            <w:r>
              <w:rPr>
                <w:sz w:val="20"/>
              </w:rPr>
            </w:r>
            <w:r>
              <w:rPr>
                <w:b w:val="0"/>
                <w:sz w:val="20"/>
              </w:rPr>
              <w:t>Sectoral credit</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Our monthly history starts Feb 2024; theirs goes further back.</w:t>
            </w:r>
          </w:p>
        </w:tc>
      </w:tr>
      <w:tr>
        <w:tc>
          <w:tcPr>
            <w:tcW w:type="dxa" w:w="2948"/>
          </w:tcPr>
          <w:p>
            <w:r>
              <w:rPr>
                <w:sz w:val="20"/>
              </w:rPr>
            </w:r>
            <w:r>
              <w:rPr>
                <w:b w:val="0"/>
                <w:sz w:val="20"/>
              </w:rPr>
              <w:t>Lending &amp; deposit rates, MCLR</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Back to 2012 for averages, 2016 for MCLR.</w:t>
            </w:r>
          </w:p>
        </w:tc>
      </w:tr>
      <w:tr>
        <w:tc>
          <w:tcPr>
            <w:tcW w:type="dxa" w:w="2948"/>
          </w:tcPr>
          <w:p>
            <w:r>
              <w:rPr>
                <w:sz w:val="20"/>
              </w:rPr>
            </w:r>
            <w:r>
              <w:rPr>
                <w:b w:val="0"/>
                <w:sz w:val="20"/>
              </w:rPr>
              <w:t>Credit &amp; debit cards, ATMs, QR</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Our history starts Nov 2025; theirs from Mar 2024.</w:t>
            </w:r>
          </w:p>
        </w:tc>
      </w:tr>
      <w:tr>
        <w:tc>
          <w:tcPr>
            <w:tcW w:type="dxa" w:w="2948"/>
          </w:tcPr>
          <w:p>
            <w:r>
              <w:rPr>
                <w:sz w:val="20"/>
              </w:rPr>
            </w:r>
            <w:r>
              <w:rPr>
                <w:b w:val="0"/>
                <w:sz w:val="20"/>
              </w:rPr>
              <w:t>Rural / urban / metro split</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Quarterly from Mar 2023 and yearly back to 2015. Matches Indus within 0.1 percentage point.</w:t>
            </w:r>
          </w:p>
        </w:tc>
      </w:tr>
      <w:tr>
        <w:tc>
          <w:tcPr>
            <w:tcW w:type="dxa" w:w="2948"/>
          </w:tcPr>
          <w:p>
            <w:r>
              <w:rPr>
                <w:sz w:val="20"/>
              </w:rPr>
            </w:r>
            <w:r>
              <w:rPr>
                <w:b w:val="0"/>
                <w:sz w:val="20"/>
              </w:rPr>
              <w:t>Deposits by area, CASA by area (BSR-2)</w:t>
            </w:r>
          </w:p>
        </w:tc>
        <w:tc>
          <w:tcPr>
            <w:tcW w:type="dxa" w:w="1247"/>
          </w:tcPr>
          <w:p>
            <w:r>
              <w:rPr>
                <w:sz w:val="20"/>
              </w:rPr>
            </w:r>
            <w:r>
              <w:rPr>
                <w:b w:val="0"/>
                <w:sz w:val="20"/>
              </w:rPr>
              <w:t>Yes</w:t>
            </w:r>
          </w:p>
        </w:tc>
        <w:tc>
          <w:tcPr>
            <w:tcW w:type="dxa" w:w="1020"/>
            <w:shd w:val="clear" w:color="auto" w:fill="E3EFE3"/>
          </w:tcPr>
          <w:p>
            <w:r>
              <w:rPr>
                <w:sz w:val="20"/>
              </w:rPr>
            </w:r>
            <w:r>
              <w:rPr>
                <w:b w:val="0"/>
                <w:sz w:val="20"/>
              </w:rPr>
              <w:t>Yes</w:t>
            </w:r>
          </w:p>
        </w:tc>
        <w:tc>
          <w:tcPr>
            <w:tcW w:type="dxa" w:w="4195"/>
          </w:tcPr>
          <w:p>
            <w:r>
              <w:rPr>
                <w:sz w:val="20"/>
              </w:rPr>
            </w:r>
            <w:r>
              <w:rPr>
                <w:b w:val="0"/>
                <w:sz w:val="20"/>
              </w:rPr>
              <w:t>2015 to 2026. March 2026 shares match Indus exactly.</w:t>
            </w:r>
          </w:p>
        </w:tc>
      </w:tr>
      <w:tr>
        <w:tc>
          <w:tcPr>
            <w:tcW w:type="dxa" w:w="2948"/>
          </w:tcPr>
          <w:p>
            <w:r>
              <w:rPr>
                <w:sz w:val="20"/>
              </w:rPr>
            </w:r>
            <w:r>
              <w:rPr>
                <w:b w:val="0"/>
                <w:sz w:val="20"/>
              </w:rPr>
              <w:t>Credit growth after inflation</w:t>
            </w:r>
          </w:p>
        </w:tc>
        <w:tc>
          <w:tcPr>
            <w:tcW w:type="dxa" w:w="1247"/>
          </w:tcPr>
          <w:p>
            <w:r>
              <w:rPr>
                <w:sz w:val="20"/>
              </w:rPr>
            </w:r>
            <w:r>
              <w:rPr>
                <w:b w:val="0"/>
                <w:sz w:val="20"/>
              </w:rPr>
              <w:t>No</w:t>
            </w:r>
          </w:p>
        </w:tc>
        <w:tc>
          <w:tcPr>
            <w:tcW w:type="dxa" w:w="1020"/>
            <w:shd w:val="clear" w:color="auto" w:fill="E1E8F3"/>
          </w:tcPr>
          <w:p>
            <w:r>
              <w:rPr>
                <w:sz w:val="20"/>
              </w:rPr>
            </w:r>
            <w:r>
              <w:rPr>
                <w:b w:val="0"/>
                <w:sz w:val="20"/>
              </w:rPr>
              <w:t>Extra</w:t>
            </w:r>
          </w:p>
        </w:tc>
        <w:tc>
          <w:tcPr>
            <w:tcW w:type="dxa" w:w="4195"/>
          </w:tcPr>
          <w:p>
            <w:r>
              <w:rPr>
                <w:sz w:val="20"/>
              </w:rPr>
            </w:r>
            <w:r>
              <w:rPr>
                <w:b w:val="0"/>
                <w:sz w:val="20"/>
              </w:rPr>
              <w:t>Uses MoSPI's consumer price index.</w:t>
            </w:r>
          </w:p>
        </w:tc>
      </w:tr>
      <w:tr>
        <w:tc>
          <w:tcPr>
            <w:tcW w:type="dxa" w:w="2948"/>
          </w:tcPr>
          <w:p>
            <w:r>
              <w:rPr>
                <w:sz w:val="20"/>
              </w:rPr>
            </w:r>
            <w:r>
              <w:rPr>
                <w:b w:val="0"/>
                <w:sz w:val="20"/>
              </w:rPr>
              <w:t>Funding pressure (credit-to-deposit, new loans vs new deposits)</w:t>
            </w:r>
          </w:p>
        </w:tc>
        <w:tc>
          <w:tcPr>
            <w:tcW w:type="dxa" w:w="1247"/>
          </w:tcPr>
          <w:p>
            <w:r>
              <w:rPr>
                <w:sz w:val="20"/>
              </w:rPr>
            </w:r>
            <w:r>
              <w:rPr>
                <w:b w:val="0"/>
                <w:sz w:val="20"/>
              </w:rPr>
              <w:t>No</w:t>
            </w:r>
          </w:p>
        </w:tc>
        <w:tc>
          <w:tcPr>
            <w:tcW w:type="dxa" w:w="1020"/>
            <w:shd w:val="clear" w:color="auto" w:fill="E1E8F3"/>
          </w:tcPr>
          <w:p>
            <w:r>
              <w:rPr>
                <w:sz w:val="20"/>
              </w:rPr>
            </w:r>
            <w:r>
              <w:rPr>
                <w:b w:val="0"/>
                <w:sz w:val="20"/>
              </w:rPr>
              <w:t>Extra</w:t>
            </w:r>
          </w:p>
        </w:tc>
        <w:tc>
          <w:tcPr>
            <w:tcW w:type="dxa" w:w="4195"/>
          </w:tcPr>
          <w:p>
            <w:r>
              <w:rPr>
                <w:sz w:val="20"/>
              </w:rPr>
            </w:r>
          </w:p>
        </w:tc>
      </w:tr>
      <w:tr>
        <w:tc>
          <w:tcPr>
            <w:tcW w:type="dxa" w:w="2948"/>
          </w:tcPr>
          <w:p>
            <w:r>
              <w:rPr>
                <w:sz w:val="20"/>
              </w:rPr>
            </w:r>
            <w:r>
              <w:rPr>
                <w:b w:val="0"/>
                <w:sz w:val="20"/>
              </w:rPr>
              <w:t>Rate transmission (did rate cuts reach borrowers?)</w:t>
            </w:r>
          </w:p>
        </w:tc>
        <w:tc>
          <w:tcPr>
            <w:tcW w:type="dxa" w:w="1247"/>
          </w:tcPr>
          <w:p>
            <w:r>
              <w:rPr>
                <w:sz w:val="20"/>
              </w:rPr>
            </w:r>
            <w:r>
              <w:rPr>
                <w:b w:val="0"/>
                <w:sz w:val="20"/>
              </w:rPr>
              <w:t>No</w:t>
            </w:r>
          </w:p>
        </w:tc>
        <w:tc>
          <w:tcPr>
            <w:tcW w:type="dxa" w:w="1020"/>
            <w:shd w:val="clear" w:color="auto" w:fill="E1E8F3"/>
          </w:tcPr>
          <w:p>
            <w:r>
              <w:rPr>
                <w:sz w:val="20"/>
              </w:rPr>
            </w:r>
            <w:r>
              <w:rPr>
                <w:b w:val="0"/>
                <w:sz w:val="20"/>
              </w:rPr>
              <w:t>Extra</w:t>
            </w:r>
          </w:p>
        </w:tc>
        <w:tc>
          <w:tcPr>
            <w:tcW w:type="dxa" w:w="4195"/>
          </w:tcPr>
          <w:p>
            <w:r>
              <w:rPr>
                <w:sz w:val="20"/>
              </w:rPr>
            </w:r>
            <w:r>
              <w:rPr>
                <w:b w:val="0"/>
                <w:sz w:val="20"/>
              </w:rPr>
              <w:t>Split by PSU vs private banks, explained by loan benchmark type.</w:t>
            </w:r>
          </w:p>
        </w:tc>
      </w:tr>
      <w:tr>
        <w:tc>
          <w:tcPr>
            <w:tcW w:type="dxa" w:w="2948"/>
          </w:tcPr>
          <w:p>
            <w:r>
              <w:rPr>
                <w:sz w:val="20"/>
              </w:rPr>
            </w:r>
            <w:r>
              <w:rPr>
                <w:b w:val="0"/>
                <w:sz w:val="20"/>
              </w:rPr>
              <w:t>Card market concentration, spend per card</w:t>
            </w:r>
          </w:p>
        </w:tc>
        <w:tc>
          <w:tcPr>
            <w:tcW w:type="dxa" w:w="1247"/>
          </w:tcPr>
          <w:p>
            <w:r>
              <w:rPr>
                <w:sz w:val="20"/>
              </w:rPr>
            </w:r>
            <w:r>
              <w:rPr>
                <w:b w:val="0"/>
                <w:sz w:val="20"/>
              </w:rPr>
              <w:t>No</w:t>
            </w:r>
          </w:p>
        </w:tc>
        <w:tc>
          <w:tcPr>
            <w:tcW w:type="dxa" w:w="1020"/>
            <w:shd w:val="clear" w:color="auto" w:fill="E1E8F3"/>
          </w:tcPr>
          <w:p>
            <w:r>
              <w:rPr>
                <w:sz w:val="20"/>
              </w:rPr>
            </w:r>
            <w:r>
              <w:rPr>
                <w:b w:val="0"/>
                <w:sz w:val="20"/>
              </w:rPr>
              <w:t>Extra</w:t>
            </w:r>
          </w:p>
        </w:tc>
        <w:tc>
          <w:tcPr>
            <w:tcW w:type="dxa" w:w="4195"/>
          </w:tcPr>
          <w:p>
            <w:r>
              <w:rPr>
                <w:sz w:val="20"/>
              </w:rPr>
            </w:r>
          </w:p>
        </w:tc>
      </w:tr>
      <w:tr>
        <w:tc>
          <w:tcPr>
            <w:tcW w:type="dxa" w:w="2948"/>
          </w:tcPr>
          <w:p>
            <w:r>
              <w:rPr>
                <w:sz w:val="20"/>
              </w:rPr>
            </w:r>
            <w:r>
              <w:rPr>
                <w:b w:val="0"/>
                <w:sz w:val="20"/>
              </w:rPr>
              <w:t>Loans by interest-rate band and loan size (BSR-1)</w:t>
            </w:r>
          </w:p>
        </w:tc>
        <w:tc>
          <w:tcPr>
            <w:tcW w:type="dxa" w:w="1247"/>
          </w:tcPr>
          <w:p>
            <w:r>
              <w:rPr>
                <w:sz w:val="20"/>
              </w:rPr>
            </w:r>
            <w:r>
              <w:rPr>
                <w:b w:val="0"/>
                <w:sz w:val="20"/>
              </w:rPr>
              <w:t>No</w:t>
            </w:r>
          </w:p>
        </w:tc>
        <w:tc>
          <w:tcPr>
            <w:tcW w:type="dxa" w:w="1020"/>
            <w:shd w:val="clear" w:color="auto" w:fill="E1E8F3"/>
          </w:tcPr>
          <w:p>
            <w:r>
              <w:rPr>
                <w:sz w:val="20"/>
              </w:rPr>
            </w:r>
            <w:r>
              <w:rPr>
                <w:b w:val="0"/>
                <w:sz w:val="20"/>
              </w:rPr>
              <w:t>Extra</w:t>
            </w:r>
          </w:p>
        </w:tc>
        <w:tc>
          <w:tcPr>
            <w:tcW w:type="dxa" w:w="4195"/>
          </w:tcPr>
          <w:p>
            <w:r>
              <w:rPr>
                <w:sz w:val="20"/>
              </w:rPr>
            </w:r>
            <w:r>
              <w:rPr>
                <w:b w:val="0"/>
                <w:sz w:val="20"/>
              </w:rPr>
              <w:t>From RBI's annual survey.</w:t>
            </w:r>
          </w:p>
        </w:tc>
      </w:tr>
      <w:tr>
        <w:tc>
          <w:tcPr>
            <w:tcW w:type="dxa" w:w="2948"/>
          </w:tcPr>
          <w:p>
            <w:r>
              <w:rPr>
                <w:sz w:val="20"/>
              </w:rPr>
            </w:r>
            <w:r>
              <w:rPr>
                <w:b w:val="0"/>
                <w:sz w:val="20"/>
              </w:rPr>
              <w:t>Searchable interactive website</w:t>
            </w:r>
          </w:p>
        </w:tc>
        <w:tc>
          <w:tcPr>
            <w:tcW w:type="dxa" w:w="1247"/>
          </w:tcPr>
          <w:p>
            <w:r>
              <w:rPr>
                <w:sz w:val="20"/>
              </w:rPr>
            </w:r>
            <w:r>
              <w:rPr>
                <w:b w:val="0"/>
                <w:sz w:val="20"/>
              </w:rPr>
              <w:t>No</w:t>
            </w:r>
          </w:p>
        </w:tc>
        <w:tc>
          <w:tcPr>
            <w:tcW w:type="dxa" w:w="1020"/>
            <w:shd w:val="clear" w:color="auto" w:fill="E1E8F3"/>
          </w:tcPr>
          <w:p>
            <w:r>
              <w:rPr>
                <w:sz w:val="20"/>
              </w:rPr>
            </w:r>
            <w:r>
              <w:rPr>
                <w:b w:val="0"/>
                <w:sz w:val="20"/>
              </w:rPr>
              <w:t>Extra</w:t>
            </w:r>
          </w:p>
        </w:tc>
        <w:tc>
          <w:tcPr>
            <w:tcW w:type="dxa" w:w="4195"/>
          </w:tcPr>
          <w:p>
            <w:r>
              <w:rPr>
                <w:sz w:val="20"/>
              </w:rPr>
            </w:r>
            <w:r>
              <w:rPr>
                <w:b w:val="0"/>
                <w:sz w:val="20"/>
              </w:rPr>
              <w:t>Hover any chart for values; every chart has a data table.</w:t>
            </w:r>
          </w:p>
        </w:tc>
      </w:tr>
    </w:tbl>
    <w:p/>
    <w:p>
      <w:pPr>
        <w:pStyle w:val="Heading1"/>
      </w:pPr>
      <w:r>
        <w:t>4. How the data is derived</w:t>
      </w:r>
    </w:p>
    <w:p>
      <w:r>
        <w:rPr>
          <w:b w:val="0"/>
        </w:rPr>
        <w:t xml:space="preserve">Think of it as a kitchen: </w:t>
      </w:r>
      <w:r>
        <w:rPr>
          <w:b/>
        </w:rPr>
        <w:t>fetch</w:t>
      </w:r>
      <w:r>
        <w:rPr>
          <w:b w:val="0"/>
        </w:rPr>
        <w:t xml:space="preserve"> the raw ingredients, </w:t>
      </w:r>
      <w:r>
        <w:rPr>
          <w:b/>
        </w:rPr>
        <w:t>clean</w:t>
      </w:r>
      <w:r>
        <w:rPr>
          <w:b w:val="0"/>
        </w:rPr>
        <w:t xml:space="preserve"> them into tidy tables, </w:t>
      </w:r>
      <w:r>
        <w:rPr>
          <w:b/>
        </w:rPr>
        <w:t>cook</w:t>
      </w:r>
      <w:r>
        <w:rPr>
          <w:b w:val="0"/>
        </w:rPr>
        <w:t xml:space="preserve"> the ratios, then </w:t>
      </w:r>
      <w:r>
        <w:rPr>
          <w:b/>
        </w:rPr>
        <w:t>serve</w:t>
      </w:r>
      <w:r>
        <w:rPr>
          <w:b w:val="0"/>
        </w:rPr>
        <w:t xml:space="preserve"> the website.</w:t>
      </w:r>
    </w:p>
    <w:p>
      <w:pPr>
        <w:pStyle w:val="Heading2"/>
      </w:pPr>
      <w:r>
        <w:t>Step 1 — Fetch (download the raw files)</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1D3B6F"/>
          </w:tcPr>
          <w:p>
            <w:r/>
            <w:r>
              <w:rPr>
                <w:b/>
                <w:color w:val="FFFFFF"/>
                <w:sz w:val="20"/>
              </w:rPr>
              <w:t>Source</w:t>
            </w:r>
          </w:p>
        </w:tc>
        <w:tc>
          <w:tcPr>
            <w:tcW w:type="dxa" w:w="5102"/>
            <w:shd w:val="clear" w:color="auto" w:fill="1D3B6F"/>
          </w:tcPr>
          <w:p>
            <w:r/>
            <w:r>
              <w:rPr>
                <w:b/>
                <w:color w:val="FFFFFF"/>
                <w:sz w:val="20"/>
              </w:rPr>
              <w:t>What we download</w:t>
            </w:r>
          </w:p>
        </w:tc>
        <w:tc>
          <w:tcPr>
            <w:tcW w:type="dxa" w:w="1928"/>
            <w:shd w:val="clear" w:color="auto" w:fill="1D3B6F"/>
          </w:tcPr>
          <w:p>
            <w:r/>
            <w:r>
              <w:rPr>
                <w:b/>
                <w:color w:val="FFFFFF"/>
                <w:sz w:val="20"/>
              </w:rPr>
              <w:t>How often</w:t>
            </w:r>
          </w:p>
        </w:tc>
      </w:tr>
      <w:tr>
        <w:tc>
          <w:tcPr>
            <w:tcW w:type="dxa" w:w="2381"/>
          </w:tcPr>
          <w:p>
            <w:r>
              <w:rPr>
                <w:sz w:val="20"/>
              </w:rPr>
            </w:r>
            <w:r>
              <w:rPr>
                <w:b w:val="0"/>
                <w:sz w:val="20"/>
              </w:rPr>
              <w:t>RBI website (rbi.org.in)</w:t>
            </w:r>
          </w:p>
        </w:tc>
        <w:tc>
          <w:tcPr>
            <w:tcW w:type="dxa" w:w="5102"/>
          </w:tcPr>
          <w:p>
            <w:r>
              <w:rPr>
                <w:sz w:val="20"/>
              </w:rPr>
            </w:r>
            <w:r>
              <w:rPr>
                <w:b w:val="0"/>
                <w:sz w:val="20"/>
              </w:rPr>
              <w:t>Sectoral credit, lending &amp; deposit rates, card statistics, banks' fortnightly statement (Excel and PDF)</w:t>
            </w:r>
          </w:p>
        </w:tc>
        <w:tc>
          <w:tcPr>
            <w:tcW w:type="dxa" w:w="1928"/>
          </w:tcPr>
          <w:p>
            <w:r>
              <w:rPr>
                <w:sz w:val="20"/>
              </w:rPr>
            </w:r>
            <w:r>
              <w:rPr>
                <w:b w:val="0"/>
                <w:sz w:val="20"/>
              </w:rPr>
              <w:t>Monthly / fortnightly</w:t>
            </w:r>
          </w:p>
        </w:tc>
      </w:tr>
      <w:tr>
        <w:tc>
          <w:tcPr>
            <w:tcW w:type="dxa" w:w="2381"/>
          </w:tcPr>
          <w:p>
            <w:r>
              <w:rPr>
                <w:sz w:val="20"/>
              </w:rPr>
            </w:r>
            <w:r>
              <w:rPr>
                <w:b w:val="0"/>
                <w:sz w:val="20"/>
              </w:rPr>
              <w:t>RBI database (data.rbi.org.in)</w:t>
            </w:r>
          </w:p>
        </w:tc>
        <w:tc>
          <w:tcPr>
            <w:tcW w:type="dxa" w:w="5102"/>
          </w:tcPr>
          <w:p>
            <w:r>
              <w:rPr>
                <w:sz w:val="20"/>
              </w:rPr>
            </w:r>
            <w:r>
              <w:rPr>
                <w:b w:val="0"/>
                <w:sz w:val="20"/>
              </w:rPr>
              <w:t>Rural/urban/metro tables, BSR-1 (credit) and BSR-2 (deposits) tables, yearly BSR volumes</w:t>
            </w:r>
          </w:p>
        </w:tc>
        <w:tc>
          <w:tcPr>
            <w:tcW w:type="dxa" w:w="1928"/>
          </w:tcPr>
          <w:p>
            <w:r>
              <w:rPr>
                <w:sz w:val="20"/>
              </w:rPr>
            </w:r>
            <w:r>
              <w:rPr>
                <w:b w:val="0"/>
                <w:sz w:val="20"/>
              </w:rPr>
              <w:t>Quarterly / yearly</w:t>
            </w:r>
          </w:p>
        </w:tc>
      </w:tr>
      <w:tr>
        <w:tc>
          <w:tcPr>
            <w:tcW w:type="dxa" w:w="2381"/>
          </w:tcPr>
          <w:p>
            <w:r>
              <w:rPr>
                <w:sz w:val="20"/>
              </w:rPr>
            </w:r>
            <w:r>
              <w:rPr>
                <w:b w:val="0"/>
                <w:sz w:val="20"/>
              </w:rPr>
              <w:t>MoSPI</w:t>
            </w:r>
          </w:p>
        </w:tc>
        <w:tc>
          <w:tcPr>
            <w:tcW w:type="dxa" w:w="5102"/>
          </w:tcPr>
          <w:p>
            <w:r>
              <w:rPr>
                <w:sz w:val="20"/>
              </w:rPr>
            </w:r>
            <w:r>
              <w:rPr>
                <w:b w:val="0"/>
                <w:sz w:val="20"/>
              </w:rPr>
              <w:t>Consumer price inflation (CPI)</w:t>
            </w:r>
          </w:p>
        </w:tc>
        <w:tc>
          <w:tcPr>
            <w:tcW w:type="dxa" w:w="1928"/>
          </w:tcPr>
          <w:p>
            <w:r>
              <w:rPr>
                <w:sz w:val="20"/>
              </w:rPr>
            </w:r>
            <w:r>
              <w:rPr>
                <w:b w:val="0"/>
                <w:sz w:val="20"/>
              </w:rPr>
              <w:t>Monthly</w:t>
            </w:r>
          </w:p>
        </w:tc>
      </w:tr>
      <w:tr>
        <w:tc>
          <w:tcPr>
            <w:tcW w:type="dxa" w:w="2381"/>
          </w:tcPr>
          <w:p>
            <w:r>
              <w:rPr>
                <w:sz w:val="20"/>
              </w:rPr>
            </w:r>
            <w:r>
              <w:rPr>
                <w:b w:val="0"/>
                <w:sz w:val="20"/>
              </w:rPr>
              <w:t>RBI policy announcements</w:t>
            </w:r>
          </w:p>
        </w:tc>
        <w:tc>
          <w:tcPr>
            <w:tcW w:type="dxa" w:w="5102"/>
          </w:tcPr>
          <w:p>
            <w:r>
              <w:rPr>
                <w:sz w:val="20"/>
              </w:rPr>
            </w:r>
            <w:r>
              <w:rPr>
                <w:b w:val="0"/>
                <w:sz w:val="20"/>
              </w:rPr>
              <w:t>Repo rate decisions</w:t>
            </w:r>
          </w:p>
        </w:tc>
        <w:tc>
          <w:tcPr>
            <w:tcW w:type="dxa" w:w="1928"/>
          </w:tcPr>
          <w:p>
            <w:r>
              <w:rPr>
                <w:sz w:val="20"/>
              </w:rPr>
            </w:r>
            <w:r>
              <w:rPr>
                <w:b w:val="0"/>
                <w:sz w:val="20"/>
              </w:rPr>
              <w:t>When the RBI decides</w:t>
            </w:r>
          </w:p>
        </w:tc>
      </w:tr>
      <w:tr>
        <w:tc>
          <w:tcPr>
            <w:tcW w:type="dxa" w:w="2381"/>
          </w:tcPr>
          <w:p>
            <w:r>
              <w:rPr>
                <w:sz w:val="20"/>
              </w:rPr>
            </w:r>
            <w:r>
              <w:rPr>
                <w:b w:val="0"/>
                <w:sz w:val="20"/>
              </w:rPr>
              <w:t>NSE filings</w:t>
            </w:r>
          </w:p>
        </w:tc>
        <w:tc>
          <w:tcPr>
            <w:tcW w:type="dxa" w:w="5102"/>
          </w:tcPr>
          <w:p>
            <w:r>
              <w:rPr>
                <w:sz w:val="20"/>
              </w:rPr>
            </w:r>
            <w:r>
              <w:rPr>
                <w:b w:val="0"/>
                <w:sz w:val="20"/>
              </w:rPr>
              <w:t>Each company's quarterly results as an XBRL file (a machine-readable form of the results)</w:t>
            </w:r>
          </w:p>
        </w:tc>
        <w:tc>
          <w:tcPr>
            <w:tcW w:type="dxa" w:w="1928"/>
          </w:tcPr>
          <w:p>
            <w:r>
              <w:rPr>
                <w:sz w:val="20"/>
              </w:rPr>
            </w:r>
            <w:r>
              <w:rPr>
                <w:b w:val="0"/>
                <w:sz w:val="20"/>
              </w:rPr>
              <w:t>Quarterly</w:t>
            </w:r>
          </w:p>
        </w:tc>
      </w:tr>
      <w:tr>
        <w:tc>
          <w:tcPr>
            <w:tcW w:type="dxa" w:w="2381"/>
          </w:tcPr>
          <w:p>
            <w:r>
              <w:rPr>
                <w:sz w:val="20"/>
              </w:rPr>
            </w:r>
            <w:r>
              <w:rPr>
                <w:b w:val="0"/>
                <w:sz w:val="20"/>
              </w:rPr>
              <w:t>NSE investor presentations</w:t>
            </w:r>
          </w:p>
        </w:tc>
        <w:tc>
          <w:tcPr>
            <w:tcW w:type="dxa" w:w="5102"/>
          </w:tcPr>
          <w:p>
            <w:r>
              <w:rPr>
                <w:sz w:val="20"/>
              </w:rPr>
            </w:r>
            <w:r>
              <w:rPr>
                <w:b w:val="0"/>
                <w:sz w:val="20"/>
              </w:rPr>
              <w:t>Each company's latest slide deck (PDF)</w:t>
            </w:r>
          </w:p>
        </w:tc>
        <w:tc>
          <w:tcPr>
            <w:tcW w:type="dxa" w:w="1928"/>
          </w:tcPr>
          <w:p>
            <w:r>
              <w:rPr>
                <w:sz w:val="20"/>
              </w:rPr>
            </w:r>
            <w:r>
              <w:rPr>
                <w:b w:val="0"/>
                <w:sz w:val="20"/>
              </w:rPr>
              <w:t>Quarterly</w:t>
            </w:r>
          </w:p>
        </w:tc>
      </w:tr>
      <w:tr>
        <w:tc>
          <w:tcPr>
            <w:tcW w:type="dxa" w:w="2381"/>
          </w:tcPr>
          <w:p>
            <w:r>
              <w:rPr>
                <w:sz w:val="20"/>
              </w:rPr>
            </w:r>
            <w:r>
              <w:rPr>
                <w:b w:val="0"/>
                <w:sz w:val="20"/>
              </w:rPr>
              <w:t>NSE daily price file (bhavcopy)</w:t>
            </w:r>
          </w:p>
        </w:tc>
        <w:tc>
          <w:tcPr>
            <w:tcW w:type="dxa" w:w="5102"/>
          </w:tcPr>
          <w:p>
            <w:r>
              <w:rPr>
                <w:sz w:val="20"/>
              </w:rPr>
            </w:r>
            <w:r>
              <w:rPr>
                <w:b w:val="0"/>
                <w:sz w:val="20"/>
              </w:rPr>
              <w:t>Closing share prices</w:t>
            </w:r>
          </w:p>
        </w:tc>
        <w:tc>
          <w:tcPr>
            <w:tcW w:type="dxa" w:w="1928"/>
          </w:tcPr>
          <w:p>
            <w:r>
              <w:rPr>
                <w:sz w:val="20"/>
              </w:rPr>
            </w:r>
            <w:r>
              <w:rPr>
                <w:b w:val="0"/>
                <w:sz w:val="20"/>
              </w:rPr>
              <w:t>Daily</w:t>
            </w:r>
          </w:p>
        </w:tc>
      </w:tr>
    </w:tbl>
    <w:p/>
    <w:tbl>
      <w:tblPr>
        <w:tblW w:type="auto" w:w="0"/>
        <w:tblLook w:firstColumn="1" w:firstRow="1" w:lastColumn="0" w:lastRow="0" w:noHBand="0" w:noVBand="1" w:val="04A0"/>
      </w:tblPr>
      <w:tblGrid>
        <w:gridCol w:w="9412"/>
      </w:tblGrid>
      <w:tr>
        <w:tc>
          <w:tcPr>
            <w:tcW w:type="dxa" w:w="9412"/>
            <w:shd w:val="clear" w:color="auto" w:fill="EEF2F8"/>
          </w:tcPr>
          <w:p>
            <w:r/>
            <w:r>
              <w:rPr>
                <w:b/>
              </w:rPr>
              <w:t>Why some downloads use a hidden browser:</w:t>
            </w:r>
            <w:r>
              <w:rPr>
                <w:b w:val="0"/>
              </w:rPr>
              <w:t xml:space="preserve"> RBI's file server blocks simple scripts with a bot check, and its database site only gives tables through an interactive viewer. So the program opens an invisible Chrome window, clicks through like a person would, and saves the Excel export.</w:t>
            </w:r>
          </w:p>
        </w:tc>
      </w:tr>
    </w:tbl>
    <w:p/>
    <w:p>
      <w:pPr>
        <w:pStyle w:val="Heading2"/>
      </w:pPr>
      <w:r>
        <w:t>Step 2 — Clean (turn files into tidy tables)</w:t>
      </w:r>
    </w:p>
    <w:p>
      <w:r>
        <w:rPr>
          <w:b w:val="0"/>
        </w:rPr>
        <w:t xml:space="preserve">Each kind of file has its own reader. It finds rows by their </w:t>
      </w:r>
      <w:r>
        <w:rPr>
          <w:b/>
        </w:rPr>
        <w:t>labels</w:t>
      </w:r>
      <w:r>
        <w:rPr>
          <w:b w:val="0"/>
        </w:rPr>
        <w:t xml:space="preserve"> (e.g. "Housing"), not by position, because RBI moves rows around from time to time. Everything goes into one database file, data\bank.db. Some clean-ups it does:</w:t>
      </w:r>
    </w:p>
    <w:p>
      <w:pPr>
        <w:pStyle w:val="ListBullet"/>
      </w:pPr>
      <w:r>
        <w:rPr>
          <w:b w:val="0"/>
        </w:rPr>
        <w:t>Units: older RBI volumes are in ₹ million, newer ones in ₹ crore — all converted to ₹ crore.</w:t>
      </w:r>
    </w:p>
    <w:p>
      <w:pPr>
        <w:pStyle w:val="ListBullet"/>
      </w:pPr>
      <w:r>
        <w:rPr>
          <w:b w:val="0"/>
        </w:rPr>
        <w:t>Missing quarters: if NSE no longer has a quarter's file, it is rebuilt from year-to-date figures (marked with *).</w:t>
      </w:r>
    </w:p>
    <w:p>
      <w:pPr>
        <w:pStyle w:val="ListBullet"/>
      </w:pPr>
      <w:r>
        <w:rPr>
          <w:b w:val="0"/>
        </w:rPr>
        <w:t>Filing mistakes: some banks report return on assets per quarter and others per year; a few report CET1 as 0.13% instead of 13%. Both are detected and fixed.</w:t>
      </w:r>
    </w:p>
    <w:p>
      <w:pPr>
        <w:pStyle w:val="ListBullet"/>
      </w:pPr>
      <w:r>
        <w:rPr>
          <w:b w:val="0"/>
        </w:rPr>
        <w:t>NBFC filings use a different format (Ind AS) from banks, so they have their own reader.</w:t>
      </w:r>
    </w:p>
    <w:p>
      <w:pPr>
        <w:pStyle w:val="Heading2"/>
      </w:pPr>
      <w:r>
        <w:t>Step 3 — Cook (calculate the measures)</w:t>
      </w:r>
    </w:p>
    <w:p>
      <w:r>
        <w:rPr>
          <w:b w:val="0"/>
        </w:rPr>
        <w:t>A few examples in plain words:</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1D3B6F"/>
          </w:tcPr>
          <w:p>
            <w:r/>
            <w:r>
              <w:rPr>
                <w:b/>
                <w:color w:val="FFFFFF"/>
                <w:sz w:val="20"/>
              </w:rPr>
              <w:t>Measure</w:t>
            </w:r>
          </w:p>
        </w:tc>
        <w:tc>
          <w:tcPr>
            <w:tcW w:type="dxa" w:w="3628"/>
            <w:shd w:val="clear" w:color="auto" w:fill="1D3B6F"/>
          </w:tcPr>
          <w:p>
            <w:r/>
            <w:r>
              <w:rPr>
                <w:b/>
                <w:color w:val="FFFFFF"/>
                <w:sz w:val="20"/>
              </w:rPr>
              <w:t>How it's worked out</w:t>
            </w:r>
          </w:p>
        </w:tc>
        <w:tc>
          <w:tcPr>
            <w:tcW w:type="dxa" w:w="3628"/>
            <w:shd w:val="clear" w:color="auto" w:fill="1D3B6F"/>
          </w:tcPr>
          <w:p>
            <w:r/>
            <w:r>
              <w:rPr>
                <w:b/>
                <w:color w:val="FFFFFF"/>
                <w:sz w:val="20"/>
              </w:rPr>
              <w:t>What it tells you</w:t>
            </w:r>
          </w:p>
        </w:tc>
      </w:tr>
      <w:tr>
        <w:tc>
          <w:tcPr>
            <w:tcW w:type="dxa" w:w="2154"/>
          </w:tcPr>
          <w:p>
            <w:r>
              <w:rPr>
                <w:sz w:val="20"/>
              </w:rPr>
            </w:r>
            <w:r>
              <w:rPr>
                <w:b w:val="0"/>
                <w:sz w:val="20"/>
              </w:rPr>
              <w:t>Net interest income (NII)</w:t>
            </w:r>
          </w:p>
        </w:tc>
        <w:tc>
          <w:tcPr>
            <w:tcW w:type="dxa" w:w="3628"/>
          </w:tcPr>
          <w:p>
            <w:r>
              <w:rPr>
                <w:sz w:val="20"/>
              </w:rPr>
            </w:r>
            <w:r>
              <w:rPr>
                <w:b w:val="0"/>
                <w:sz w:val="20"/>
              </w:rPr>
              <w:t>Interest earned − interest paid</w:t>
            </w:r>
          </w:p>
        </w:tc>
        <w:tc>
          <w:tcPr>
            <w:tcW w:type="dxa" w:w="3628"/>
          </w:tcPr>
          <w:p>
            <w:r>
              <w:rPr>
                <w:sz w:val="20"/>
              </w:rPr>
            </w:r>
            <w:r>
              <w:rPr>
                <w:b w:val="0"/>
                <w:sz w:val="20"/>
              </w:rPr>
              <w:t>The core earnings from lending</w:t>
            </w:r>
          </w:p>
        </w:tc>
      </w:tr>
      <w:tr>
        <w:tc>
          <w:tcPr>
            <w:tcW w:type="dxa" w:w="2154"/>
          </w:tcPr>
          <w:p>
            <w:r>
              <w:rPr>
                <w:sz w:val="20"/>
              </w:rPr>
            </w:r>
            <w:r>
              <w:rPr>
                <w:b w:val="0"/>
                <w:sz w:val="20"/>
              </w:rPr>
              <w:t>Cost-to-income</w:t>
            </w:r>
          </w:p>
        </w:tc>
        <w:tc>
          <w:tcPr>
            <w:tcW w:type="dxa" w:w="3628"/>
          </w:tcPr>
          <w:p>
            <w:r>
              <w:rPr>
                <w:sz w:val="20"/>
              </w:rPr>
            </w:r>
            <w:r>
              <w:rPr>
                <w:b w:val="0"/>
                <w:sz w:val="20"/>
              </w:rPr>
              <w:t>Operating costs ÷ (NII + other income)</w:t>
            </w:r>
          </w:p>
        </w:tc>
        <w:tc>
          <w:tcPr>
            <w:tcW w:type="dxa" w:w="3628"/>
          </w:tcPr>
          <w:p>
            <w:r>
              <w:rPr>
                <w:sz w:val="20"/>
              </w:rPr>
            </w:r>
            <w:r>
              <w:rPr>
                <w:b w:val="0"/>
                <w:sz w:val="20"/>
              </w:rPr>
              <w:t>How efficiently the bank runs; lower is better</w:t>
            </w:r>
          </w:p>
        </w:tc>
      </w:tr>
      <w:tr>
        <w:tc>
          <w:tcPr>
            <w:tcW w:type="dxa" w:w="2154"/>
          </w:tcPr>
          <w:p>
            <w:r>
              <w:rPr>
                <w:sz w:val="20"/>
              </w:rPr>
            </w:r>
            <w:r>
              <w:rPr>
                <w:b w:val="0"/>
                <w:sz w:val="20"/>
              </w:rPr>
              <w:t>Gross NPA %</w:t>
            </w:r>
          </w:p>
        </w:tc>
        <w:tc>
          <w:tcPr>
            <w:tcW w:type="dxa" w:w="3628"/>
          </w:tcPr>
          <w:p>
            <w:r>
              <w:rPr>
                <w:sz w:val="20"/>
              </w:rPr>
            </w:r>
            <w:r>
              <w:rPr>
                <w:b w:val="0"/>
                <w:sz w:val="20"/>
              </w:rPr>
              <w:t>Bad loans ÷ total loans</w:t>
            </w:r>
          </w:p>
        </w:tc>
        <w:tc>
          <w:tcPr>
            <w:tcW w:type="dxa" w:w="3628"/>
          </w:tcPr>
          <w:p>
            <w:r>
              <w:rPr>
                <w:sz w:val="20"/>
              </w:rPr>
            </w:r>
            <w:r>
              <w:rPr>
                <w:b w:val="0"/>
                <w:sz w:val="20"/>
              </w:rPr>
              <w:t>Asset quality</w:t>
            </w:r>
          </w:p>
        </w:tc>
      </w:tr>
      <w:tr>
        <w:tc>
          <w:tcPr>
            <w:tcW w:type="dxa" w:w="2154"/>
          </w:tcPr>
          <w:p>
            <w:r>
              <w:rPr>
                <w:sz w:val="20"/>
              </w:rPr>
            </w:r>
            <w:r>
              <w:rPr>
                <w:b w:val="0"/>
                <w:sz w:val="20"/>
              </w:rPr>
              <w:t>Provision coverage (PCR)</w:t>
            </w:r>
          </w:p>
        </w:tc>
        <w:tc>
          <w:tcPr>
            <w:tcW w:type="dxa" w:w="3628"/>
          </w:tcPr>
          <w:p>
            <w:r>
              <w:rPr>
                <w:sz w:val="20"/>
              </w:rPr>
            </w:r>
            <w:r>
              <w:rPr>
                <w:b w:val="0"/>
                <w:sz w:val="20"/>
              </w:rPr>
              <w:t>Money set aside ÷ bad loans</w:t>
            </w:r>
          </w:p>
        </w:tc>
        <w:tc>
          <w:tcPr>
            <w:tcW w:type="dxa" w:w="3628"/>
          </w:tcPr>
          <w:p>
            <w:r>
              <w:rPr>
                <w:sz w:val="20"/>
              </w:rPr>
            </w:r>
            <w:r>
              <w:rPr>
                <w:b w:val="0"/>
                <w:sz w:val="20"/>
              </w:rPr>
              <w:t>How well bad loans are already covered</w:t>
            </w:r>
          </w:p>
        </w:tc>
      </w:tr>
      <w:tr>
        <w:tc>
          <w:tcPr>
            <w:tcW w:type="dxa" w:w="2154"/>
          </w:tcPr>
          <w:p>
            <w:r>
              <w:rPr>
                <w:sz w:val="20"/>
              </w:rPr>
            </w:r>
            <w:r>
              <w:rPr>
                <w:b w:val="0"/>
                <w:sz w:val="20"/>
              </w:rPr>
              <w:t>Credit cost</w:t>
            </w:r>
          </w:p>
        </w:tc>
        <w:tc>
          <w:tcPr>
            <w:tcW w:type="dxa" w:w="3628"/>
          </w:tcPr>
          <w:p>
            <w:r>
              <w:rPr>
                <w:sz w:val="20"/>
              </w:rPr>
            </w:r>
            <w:r>
              <w:rPr>
                <w:b w:val="0"/>
                <w:sz w:val="20"/>
              </w:rPr>
              <w:t>Provisions ÷ loans</w:t>
            </w:r>
          </w:p>
        </w:tc>
        <w:tc>
          <w:tcPr>
            <w:tcW w:type="dxa" w:w="3628"/>
          </w:tcPr>
          <w:p>
            <w:r>
              <w:rPr>
                <w:sz w:val="20"/>
              </w:rPr>
            </w:r>
            <w:r>
              <w:rPr>
                <w:b w:val="0"/>
                <w:sz w:val="20"/>
              </w:rPr>
              <w:t>Used for NBFCs, which don't report NPA ratios in filings</w:t>
            </w:r>
          </w:p>
        </w:tc>
      </w:tr>
      <w:tr>
        <w:tc>
          <w:tcPr>
            <w:tcW w:type="dxa" w:w="2154"/>
          </w:tcPr>
          <w:p>
            <w:r>
              <w:rPr>
                <w:sz w:val="20"/>
              </w:rPr>
            </w:r>
            <w:r>
              <w:rPr>
                <w:b w:val="0"/>
                <w:sz w:val="20"/>
              </w:rPr>
              <w:t>CASA ratio</w:t>
            </w:r>
          </w:p>
        </w:tc>
        <w:tc>
          <w:tcPr>
            <w:tcW w:type="dxa" w:w="3628"/>
          </w:tcPr>
          <w:p>
            <w:r>
              <w:rPr>
                <w:sz w:val="20"/>
              </w:rPr>
            </w:r>
            <w:r>
              <w:rPr>
                <w:b w:val="0"/>
                <w:sz w:val="20"/>
              </w:rPr>
              <w:t>(Current + savings deposits) ÷ all deposits</w:t>
            </w:r>
          </w:p>
        </w:tc>
        <w:tc>
          <w:tcPr>
            <w:tcW w:type="dxa" w:w="3628"/>
          </w:tcPr>
          <w:p>
            <w:r>
              <w:rPr>
                <w:sz w:val="20"/>
              </w:rPr>
            </w:r>
            <w:r>
              <w:rPr>
                <w:b w:val="0"/>
                <w:sz w:val="20"/>
              </w:rPr>
              <w:t>Share of cheap funding</w:t>
            </w:r>
          </w:p>
        </w:tc>
      </w:tr>
      <w:tr>
        <w:tc>
          <w:tcPr>
            <w:tcW w:type="dxa" w:w="2154"/>
          </w:tcPr>
          <w:p>
            <w:r>
              <w:rPr>
                <w:sz w:val="20"/>
              </w:rPr>
            </w:r>
            <w:r>
              <w:rPr>
                <w:b w:val="0"/>
                <w:sz w:val="20"/>
              </w:rPr>
              <w:t>Credit-to-deposit</w:t>
            </w:r>
          </w:p>
        </w:tc>
        <w:tc>
          <w:tcPr>
            <w:tcW w:type="dxa" w:w="3628"/>
          </w:tcPr>
          <w:p>
            <w:r>
              <w:rPr>
                <w:sz w:val="20"/>
              </w:rPr>
            </w:r>
            <w:r>
              <w:rPr>
                <w:b w:val="0"/>
                <w:sz w:val="20"/>
              </w:rPr>
              <w:t>Loans ÷ deposits</w:t>
            </w:r>
          </w:p>
        </w:tc>
        <w:tc>
          <w:tcPr>
            <w:tcW w:type="dxa" w:w="3628"/>
          </w:tcPr>
          <w:p>
            <w:r>
              <w:rPr>
                <w:sz w:val="20"/>
              </w:rPr>
            </w:r>
            <w:r>
              <w:rPr>
                <w:b w:val="0"/>
                <w:sz w:val="20"/>
              </w:rPr>
              <w:t>How stretched funding is</w:t>
            </w:r>
          </w:p>
        </w:tc>
      </w:tr>
      <w:tr>
        <w:tc>
          <w:tcPr>
            <w:tcW w:type="dxa" w:w="2154"/>
          </w:tcPr>
          <w:p>
            <w:r>
              <w:rPr>
                <w:sz w:val="20"/>
              </w:rPr>
            </w:r>
            <w:r>
              <w:rPr>
                <w:b w:val="0"/>
                <w:sz w:val="20"/>
              </w:rPr>
              <w:t>Real credit growth</w:t>
            </w:r>
          </w:p>
        </w:tc>
        <w:tc>
          <w:tcPr>
            <w:tcW w:type="dxa" w:w="3628"/>
          </w:tcPr>
          <w:p>
            <w:r>
              <w:rPr>
                <w:sz w:val="20"/>
              </w:rPr>
            </w:r>
            <w:r>
              <w:rPr>
                <w:b w:val="0"/>
                <w:sz w:val="20"/>
              </w:rPr>
              <w:t>Credit growth − inflation</w:t>
            </w:r>
          </w:p>
        </w:tc>
        <w:tc>
          <w:tcPr>
            <w:tcW w:type="dxa" w:w="3628"/>
          </w:tcPr>
          <w:p>
            <w:r>
              <w:rPr>
                <w:sz w:val="20"/>
              </w:rPr>
            </w:r>
            <w:r>
              <w:rPr>
                <w:b w:val="0"/>
                <w:sz w:val="20"/>
              </w:rPr>
              <w:t>Growth after rising prices are taken out</w:t>
            </w:r>
          </w:p>
        </w:tc>
      </w:tr>
      <w:tr>
        <w:tc>
          <w:tcPr>
            <w:tcW w:type="dxa" w:w="2154"/>
          </w:tcPr>
          <w:p>
            <w:r>
              <w:rPr>
                <w:sz w:val="20"/>
              </w:rPr>
            </w:r>
            <w:r>
              <w:rPr>
                <w:b w:val="0"/>
                <w:sz w:val="20"/>
              </w:rPr>
              <w:t>Rate transmission</w:t>
            </w:r>
          </w:p>
        </w:tc>
        <w:tc>
          <w:tcPr>
            <w:tcW w:type="dxa" w:w="3628"/>
          </w:tcPr>
          <w:p>
            <w:r>
              <w:rPr>
                <w:sz w:val="20"/>
              </w:rPr>
            </w:r>
            <w:r>
              <w:rPr>
                <w:b w:val="0"/>
                <w:sz w:val="20"/>
              </w:rPr>
              <w:t>Change in loan or deposit rate ÷ change in repo rate</w:t>
            </w:r>
          </w:p>
        </w:tc>
        <w:tc>
          <w:tcPr>
            <w:tcW w:type="dxa" w:w="3628"/>
          </w:tcPr>
          <w:p>
            <w:r>
              <w:rPr>
                <w:sz w:val="20"/>
              </w:rPr>
            </w:r>
            <w:r>
              <w:rPr>
                <w:b w:val="0"/>
                <w:sz w:val="20"/>
              </w:rPr>
              <w:t>How much of an RBI move reached customers</w:t>
            </w:r>
          </w:p>
        </w:tc>
      </w:tr>
      <w:tr>
        <w:tc>
          <w:tcPr>
            <w:tcW w:type="dxa" w:w="2154"/>
          </w:tcPr>
          <w:p>
            <w:r>
              <w:rPr>
                <w:sz w:val="20"/>
              </w:rPr>
            </w:r>
            <w:r>
              <w:rPr>
                <w:b w:val="0"/>
                <w:sz w:val="20"/>
              </w:rPr>
              <w:t>Market cap</w:t>
            </w:r>
          </w:p>
        </w:tc>
        <w:tc>
          <w:tcPr>
            <w:tcW w:type="dxa" w:w="3628"/>
          </w:tcPr>
          <w:p>
            <w:r>
              <w:rPr>
                <w:sz w:val="20"/>
              </w:rPr>
            </w:r>
            <w:r>
              <w:rPr>
                <w:b w:val="0"/>
                <w:sz w:val="20"/>
              </w:rPr>
              <w:t>Share price × number of shares</w:t>
            </w:r>
          </w:p>
        </w:tc>
        <w:tc>
          <w:tcPr>
            <w:tcW w:type="dxa" w:w="3628"/>
          </w:tcPr>
          <w:p>
            <w:r>
              <w:rPr>
                <w:sz w:val="20"/>
              </w:rPr>
            </w:r>
            <w:r>
              <w:rPr>
                <w:b w:val="0"/>
                <w:sz w:val="20"/>
              </w:rPr>
              <w:t>What the market says the company is worth</w:t>
            </w:r>
          </w:p>
        </w:tc>
      </w:tr>
      <w:tr>
        <w:tc>
          <w:tcPr>
            <w:tcW w:type="dxa" w:w="2154"/>
          </w:tcPr>
          <w:p>
            <w:r>
              <w:rPr>
                <w:sz w:val="20"/>
              </w:rPr>
            </w:r>
            <w:r>
              <w:rPr>
                <w:b w:val="0"/>
                <w:sz w:val="20"/>
              </w:rPr>
              <w:t>Price-to-book (P/B)</w:t>
            </w:r>
          </w:p>
        </w:tc>
        <w:tc>
          <w:tcPr>
            <w:tcW w:type="dxa" w:w="3628"/>
          </w:tcPr>
          <w:p>
            <w:r>
              <w:rPr>
                <w:sz w:val="20"/>
              </w:rPr>
            </w:r>
            <w:r>
              <w:rPr>
                <w:b w:val="0"/>
                <w:sz w:val="20"/>
              </w:rPr>
              <w:t>Market cap ÷ net worth</w:t>
            </w:r>
          </w:p>
        </w:tc>
        <w:tc>
          <w:tcPr>
            <w:tcW w:type="dxa" w:w="3628"/>
          </w:tcPr>
          <w:p>
            <w:r>
              <w:rPr>
                <w:sz w:val="20"/>
              </w:rPr>
            </w:r>
            <w:r>
              <w:rPr>
                <w:b w:val="0"/>
                <w:sz w:val="20"/>
              </w:rPr>
              <w:t>Valuation versus the company's own capital</w:t>
            </w:r>
          </w:p>
        </w:tc>
      </w:tr>
      <w:tr>
        <w:tc>
          <w:tcPr>
            <w:tcW w:type="dxa" w:w="2154"/>
          </w:tcPr>
          <w:p>
            <w:r>
              <w:rPr>
                <w:sz w:val="20"/>
              </w:rPr>
            </w:r>
            <w:r>
              <w:rPr>
                <w:b w:val="0"/>
                <w:sz w:val="20"/>
              </w:rPr>
              <w:t>Price-to-earnings (P/E)</w:t>
            </w:r>
          </w:p>
        </w:tc>
        <w:tc>
          <w:tcPr>
            <w:tcW w:type="dxa" w:w="3628"/>
          </w:tcPr>
          <w:p>
            <w:r>
              <w:rPr>
                <w:sz w:val="20"/>
              </w:rPr>
            </w:r>
            <w:r>
              <w:rPr>
                <w:b w:val="0"/>
                <w:sz w:val="20"/>
              </w:rPr>
              <w:t>Market cap ÷ last four quarters' profit</w:t>
            </w:r>
          </w:p>
        </w:tc>
        <w:tc>
          <w:tcPr>
            <w:tcW w:type="dxa" w:w="3628"/>
          </w:tcPr>
          <w:p>
            <w:r>
              <w:rPr>
                <w:sz w:val="20"/>
              </w:rPr>
            </w:r>
            <w:r>
              <w:rPr>
                <w:b w:val="0"/>
                <w:sz w:val="20"/>
              </w:rPr>
              <w:t>Valuation versus earnings</w:t>
            </w:r>
          </w:p>
        </w:tc>
      </w:tr>
      <w:tr>
        <w:tc>
          <w:tcPr>
            <w:tcW w:type="dxa" w:w="2154"/>
          </w:tcPr>
          <w:p>
            <w:r>
              <w:rPr>
                <w:sz w:val="20"/>
              </w:rPr>
            </w:r>
            <w:r>
              <w:rPr>
                <w:b w:val="0"/>
                <w:sz w:val="20"/>
              </w:rPr>
              <w:t>Card concentration (HHI)</w:t>
            </w:r>
          </w:p>
        </w:tc>
        <w:tc>
          <w:tcPr>
            <w:tcW w:type="dxa" w:w="3628"/>
          </w:tcPr>
          <w:p>
            <w:r>
              <w:rPr>
                <w:sz w:val="20"/>
              </w:rPr>
            </w:r>
            <w:r>
              <w:rPr>
                <w:b w:val="0"/>
                <w:sz w:val="20"/>
              </w:rPr>
              <w:t>Sum of squared market shares</w:t>
            </w:r>
          </w:p>
        </w:tc>
        <w:tc>
          <w:tcPr>
            <w:tcW w:type="dxa" w:w="3628"/>
          </w:tcPr>
          <w:p>
            <w:r>
              <w:rPr>
                <w:sz w:val="20"/>
              </w:rPr>
            </w:r>
            <w:r>
              <w:rPr>
                <w:b w:val="0"/>
                <w:sz w:val="20"/>
              </w:rPr>
              <w:t>Whether a few banks dominate cards</w:t>
            </w:r>
          </w:p>
        </w:tc>
      </w:tr>
    </w:tbl>
    <w:p/>
    <w:p>
      <w:pPr>
        <w:pStyle w:val="Heading2"/>
      </w:pPr>
      <w:r>
        <w:t>Step 4 — Read the slide decks with Claude</w:t>
      </w:r>
    </w:p>
    <w:p>
      <w:r>
        <w:rPr>
          <w:b w:val="0"/>
        </w:rPr>
        <w:t xml:space="preserve">Some figures (CASA, provision coverage, AUM, stage 3) are only in each company's investor presentation, and every company lays its slides out differently. So each </w:t>
      </w:r>
      <w:r>
        <w:rPr>
          <w:b/>
        </w:rPr>
        <w:t>new</w:t>
      </w:r>
      <w:r>
        <w:rPr>
          <w:b w:val="0"/>
        </w:rPr>
        <w:t xml:space="preserve"> deck is sent once to Claude, which reads it and returns the figure </w:t>
      </w:r>
      <w:r>
        <w:rPr>
          <w:b/>
        </w:rPr>
        <w:t>plus the exact text and page it came from</w:t>
      </w:r>
      <w:r>
        <w:rPr>
          <w:b w:val="0"/>
        </w:rPr>
        <w:t>. The program then checks that the quoted text really is on that page and contains the number, and that the value is sensible. Anything that fails the check is thrown away. Bank NPA ratios read this way matched the official filings exactly.</w:t>
      </w:r>
    </w:p>
    <w:p>
      <w:r>
        <w:rPr>
          <w:b w:val="0"/>
        </w:rPr>
        <w:t>This uses your Claude plan (about 76 decks a quarter, once each). If the daily usage limit is hit, the rest are picked up the next evening.</w:t>
      </w:r>
    </w:p>
    <w:p>
      <w:pPr>
        <w:pStyle w:val="Heading2"/>
      </w:pPr>
      <w:r>
        <w:t>Step 5 — Serve (build the website)</w:t>
      </w:r>
    </w:p>
    <w:p>
      <w:r>
        <w:rPr>
          <w:b w:val="0"/>
        </w:rPr>
        <w:t xml:space="preserve">The final step puts all the numbers into the website file </w:t>
      </w:r>
      <w:r>
        <w:rPr>
          <w:b/>
        </w:rPr>
        <w:t>reports\india_banking_monitor.html</w:t>
      </w:r>
      <w:r>
        <w:rPr>
          <w:b w:val="0"/>
        </w:rPr>
        <w:t>. Double-click it to open. It works offline and needs no server.</w:t>
      </w:r>
    </w:p>
    <w:p>
      <w:pPr>
        <w:pStyle w:val="Heading2"/>
      </w:pPr>
      <w:r>
        <w:t>How we know it's right</w:t>
      </w:r>
    </w:p>
    <w:p>
      <w:pPr>
        <w:pStyle w:val="ListBullet"/>
      </w:pPr>
      <w:r>
        <w:rPr>
          <w:b w:val="0"/>
        </w:rPr>
        <w:t>HDFC Bank Q4 FY26: profit ₹19,221 cr, NII ₹33,082 cr, gross NPA ₹34,061 cr, deposits ₹31,05,250 cr — all identical to Indus.</w:t>
      </w:r>
    </w:p>
    <w:p>
      <w:pPr>
        <w:pStyle w:val="ListBullet"/>
      </w:pPr>
      <w:r>
        <w:rPr>
          <w:b w:val="0"/>
        </w:rPr>
        <w:t>Bajaj Finance and Shriram Finance: every line matches Indus for Q4 FY26 and FY26.</w:t>
      </w:r>
    </w:p>
    <w:p>
      <w:pPr>
        <w:pStyle w:val="ListBullet"/>
      </w:pPr>
      <w:r>
        <w:rPr>
          <w:b w:val="0"/>
        </w:rPr>
        <w:t>Credit growth matches RBI's own published 19.08%; card data adds up exactly to RBI's totals.</w:t>
      </w:r>
    </w:p>
    <w:p>
      <w:pPr>
        <w:pStyle w:val="ListBullet"/>
      </w:pPr>
      <w:r>
        <w:rPr>
          <w:b w:val="0"/>
        </w:rPr>
        <w:t>Rural/urban/metro shares: within 0.1 point of Indus for March 2026; metro share 65.9% (2015) and 60.3% (2025) exactly as Indus shows.</w:t>
      </w:r>
    </w:p>
    <w:p>
      <w:pPr>
        <w:pStyle w:val="ListBullet"/>
      </w:pPr>
      <w:r>
        <w:rPr>
          <w:b w:val="0"/>
        </w:rPr>
        <w:t>Deposit shares March 2026: metro 54.65%, rural 9.08% — exactly as Indus.</w:t>
      </w:r>
    </w:p>
    <w:p>
      <w:pPr>
        <w:pStyle w:val="Heading1"/>
      </w:pPr>
      <w:r>
        <w:t>5. What happens from now on</w:t>
      </w:r>
    </w:p>
    <w:p>
      <w:pPr>
        <w:pStyle w:val="Heading2"/>
      </w:pPr>
      <w:r>
        <w:t>Every day, automatically</w:t>
      </w:r>
    </w:p>
    <w:p>
      <w:pPr>
        <w:pStyle w:val="ListNumber"/>
      </w:pPr>
      <w:r>
        <w:rPr>
          <w:b w:val="0"/>
        </w:rPr>
        <w:t xml:space="preserve">At </w:t>
      </w:r>
      <w:r>
        <w:rPr>
          <w:b/>
        </w:rPr>
        <w:t>19:30</w:t>
      </w:r>
      <w:r>
        <w:rPr>
          <w:b w:val="0"/>
        </w:rPr>
        <w:t xml:space="preserve"> Windows starts the task "BankAnalysis daily" (or as soon as the PC is switched on, if it was off).</w:t>
      </w:r>
    </w:p>
    <w:p>
      <w:pPr>
        <w:pStyle w:val="ListNumber"/>
      </w:pPr>
      <w:r>
        <w:rPr>
          <w:b w:val="0"/>
        </w:rPr>
        <w:t>It checks every source for anything new and downloads only what's new.</w:t>
      </w:r>
    </w:p>
    <w:p>
      <w:pPr>
        <w:pStyle w:val="ListNumber"/>
      </w:pPr>
      <w:r>
        <w:rPr>
          <w:b w:val="0"/>
        </w:rPr>
        <w:t>It recalculates everything and rebuilds the website file.</w:t>
      </w:r>
    </w:p>
    <w:p>
      <w:pPr>
        <w:pStyle w:val="ListNumber"/>
      </w:pPr>
      <w:r>
        <w:rPr>
          <w:b w:val="0"/>
        </w:rPr>
        <w:t>It writes a log to the logs folder; logs\last_run.json shows whether each step worked.</w:t>
      </w:r>
    </w:p>
    <w:p>
      <w:r>
        <w:rPr>
          <w:b w:val="0"/>
        </w:rPr>
        <w:t>A full run takes roughly 45 minutes, mostly checking NSE for new results. Most evenings nothing new has come out and the website simply stays the same.</w:t>
      </w:r>
    </w:p>
    <w:p>
      <w:pPr>
        <w:pStyle w:val="Heading2"/>
      </w:pPr>
      <w:r>
        <w:t>What fills in over the year</w:t>
      </w:r>
    </w:p>
    <w:tbl>
      <w:tblPr>
        <w:tblStyle w:val="TableGrid"/>
        <w:tblW w:type="auto" w:w="0"/>
        <w:jc w:val="center"/>
        <w:tblLook w:firstColumn="1" w:firstRow="1" w:lastColumn="0" w:lastRow="0" w:noHBand="0" w:noVBand="1" w:val="04A0"/>
      </w:tblPr>
      <w:tblGrid>
        <w:gridCol w:w="4706"/>
        <w:gridCol w:w="4706"/>
      </w:tblGrid>
      <w:tr>
        <w:tc>
          <w:tcPr>
            <w:tcW w:type="dxa" w:w="2948"/>
            <w:shd w:val="clear" w:color="auto" w:fill="1D3B6F"/>
          </w:tcPr>
          <w:p>
            <w:r/>
            <w:r>
              <w:rPr>
                <w:b/>
                <w:color w:val="FFFFFF"/>
                <w:sz w:val="20"/>
              </w:rPr>
              <w:t>When</w:t>
            </w:r>
          </w:p>
        </w:tc>
        <w:tc>
          <w:tcPr>
            <w:tcW w:type="dxa" w:w="6463"/>
            <w:shd w:val="clear" w:color="auto" w:fill="1D3B6F"/>
          </w:tcPr>
          <w:p>
            <w:r/>
            <w:r>
              <w:rPr>
                <w:b/>
                <w:color w:val="FFFFFF"/>
                <w:sz w:val="20"/>
              </w:rPr>
              <w:t>What arrives</w:t>
            </w:r>
          </w:p>
        </w:tc>
      </w:tr>
      <w:tr>
        <w:tc>
          <w:tcPr>
            <w:tcW w:type="dxa" w:w="2948"/>
          </w:tcPr>
          <w:p>
            <w:r>
              <w:rPr>
                <w:sz w:val="20"/>
              </w:rPr>
            </w:r>
            <w:r>
              <w:rPr>
                <w:b w:val="0"/>
                <w:sz w:val="20"/>
              </w:rPr>
              <w:t>End of each month</w:t>
            </w:r>
          </w:p>
        </w:tc>
        <w:tc>
          <w:tcPr>
            <w:tcW w:type="dxa" w:w="6463"/>
          </w:tcPr>
          <w:p>
            <w:r>
              <w:rPr>
                <w:sz w:val="20"/>
              </w:rPr>
            </w:r>
            <w:r>
              <w:rPr>
                <w:b w:val="0"/>
                <w:sz w:val="20"/>
              </w:rPr>
              <w:t>New sectoral credit and lending/deposit rate data from RBI</w:t>
            </w:r>
          </w:p>
        </w:tc>
      </w:tr>
      <w:tr>
        <w:tc>
          <w:tcPr>
            <w:tcW w:type="dxa" w:w="2948"/>
          </w:tcPr>
          <w:p>
            <w:r>
              <w:rPr>
                <w:sz w:val="20"/>
              </w:rPr>
            </w:r>
            <w:r>
              <w:rPr>
                <w:b w:val="0"/>
                <w:sz w:val="20"/>
              </w:rPr>
              <w:t>Every month (1–2 month lag)</w:t>
            </w:r>
          </w:p>
        </w:tc>
        <w:tc>
          <w:tcPr>
            <w:tcW w:type="dxa" w:w="6463"/>
          </w:tcPr>
          <w:p>
            <w:r>
              <w:rPr>
                <w:sz w:val="20"/>
              </w:rPr>
            </w:r>
            <w:r>
              <w:rPr>
                <w:b w:val="0"/>
                <w:sz w:val="20"/>
              </w:rPr>
              <w:t>New card, ATM and QR statistics</w:t>
            </w:r>
          </w:p>
        </w:tc>
      </w:tr>
      <w:tr>
        <w:tc>
          <w:tcPr>
            <w:tcW w:type="dxa" w:w="2948"/>
          </w:tcPr>
          <w:p>
            <w:r>
              <w:rPr>
                <w:sz w:val="20"/>
              </w:rPr>
            </w:r>
            <w:r>
              <w:rPr>
                <w:b w:val="0"/>
                <w:sz w:val="20"/>
              </w:rPr>
              <w:t>Mid-month</w:t>
            </w:r>
          </w:p>
        </w:tc>
        <w:tc>
          <w:tcPr>
            <w:tcW w:type="dxa" w:w="6463"/>
          </w:tcPr>
          <w:p>
            <w:r>
              <w:rPr>
                <w:sz w:val="20"/>
              </w:rPr>
            </w:r>
            <w:r>
              <w:rPr>
                <w:b w:val="0"/>
                <w:sz w:val="20"/>
              </w:rPr>
              <w:t>New inflation (CPI) figure</w:t>
            </w:r>
          </w:p>
        </w:tc>
      </w:tr>
      <w:tr>
        <w:tc>
          <w:tcPr>
            <w:tcW w:type="dxa" w:w="2948"/>
          </w:tcPr>
          <w:p>
            <w:r>
              <w:rPr>
                <w:sz w:val="20"/>
              </w:rPr>
            </w:r>
            <w:r>
              <w:rPr>
                <w:b w:val="0"/>
                <w:sz w:val="20"/>
              </w:rPr>
              <w:t>After each RBI policy meeting</w:t>
            </w:r>
          </w:p>
        </w:tc>
        <w:tc>
          <w:tcPr>
            <w:tcW w:type="dxa" w:w="6463"/>
          </w:tcPr>
          <w:p>
            <w:r>
              <w:rPr>
                <w:sz w:val="20"/>
              </w:rPr>
            </w:r>
            <w:r>
              <w:rPr>
                <w:b w:val="0"/>
                <w:sz w:val="20"/>
              </w:rPr>
              <w:t>Repo rate decision</w:t>
            </w:r>
          </w:p>
        </w:tc>
      </w:tr>
      <w:tr>
        <w:tc>
          <w:tcPr>
            <w:tcW w:type="dxa" w:w="2948"/>
          </w:tcPr>
          <w:p>
            <w:r>
              <w:rPr>
                <w:sz w:val="20"/>
              </w:rPr>
            </w:r>
            <w:r>
              <w:rPr>
                <w:b w:val="0"/>
                <w:sz w:val="20"/>
              </w:rPr>
              <w:t>Results season (mid-Jan, Apr, Jul, Oct)</w:t>
            </w:r>
          </w:p>
        </w:tc>
        <w:tc>
          <w:tcPr>
            <w:tcW w:type="dxa" w:w="6463"/>
          </w:tcPr>
          <w:p>
            <w:r>
              <w:rPr>
                <w:sz w:val="20"/>
              </w:rPr>
            </w:r>
            <w:r>
              <w:rPr>
                <w:b w:val="0"/>
                <w:sz w:val="20"/>
              </w:rPr>
              <w:t>New quarterly results for all 76 companies, new slide decks read by Claude, new valuations</w:t>
            </w:r>
          </w:p>
        </w:tc>
      </w:tr>
      <w:tr>
        <w:tc>
          <w:tcPr>
            <w:tcW w:type="dxa" w:w="2948"/>
          </w:tcPr>
          <w:p>
            <w:r>
              <w:rPr>
                <w:sz w:val="20"/>
              </w:rPr>
            </w:r>
            <w:r>
              <w:rPr>
                <w:b w:val="0"/>
                <w:sz w:val="20"/>
              </w:rPr>
              <w:t>Each quarter</w:t>
            </w:r>
          </w:p>
        </w:tc>
        <w:tc>
          <w:tcPr>
            <w:tcW w:type="dxa" w:w="6463"/>
          </w:tcPr>
          <w:p>
            <w:r>
              <w:rPr>
                <w:sz w:val="20"/>
              </w:rPr>
            </w:r>
            <w:r>
              <w:rPr>
                <w:b w:val="0"/>
                <w:sz w:val="20"/>
              </w:rPr>
              <w:t>Updated rural/urban/metro split</w:t>
            </w:r>
          </w:p>
        </w:tc>
      </w:tr>
      <w:tr>
        <w:tc>
          <w:tcPr>
            <w:tcW w:type="dxa" w:w="2948"/>
          </w:tcPr>
          <w:p>
            <w:r>
              <w:rPr>
                <w:sz w:val="20"/>
              </w:rPr>
            </w:r>
            <w:r>
              <w:rPr>
                <w:b w:val="0"/>
                <w:sz w:val="20"/>
              </w:rPr>
              <w:t>Once a year</w:t>
            </w:r>
          </w:p>
        </w:tc>
        <w:tc>
          <w:tcPr>
            <w:tcW w:type="dxa" w:w="6463"/>
          </w:tcPr>
          <w:p>
            <w:r>
              <w:rPr>
                <w:sz w:val="20"/>
              </w:rPr>
            </w:r>
            <w:r>
              <w:rPr>
                <w:b w:val="0"/>
                <w:sz w:val="20"/>
              </w:rPr>
              <w:t>New BSR-1 and BSR-2 annual tables (credit and deposit structure)</w:t>
            </w:r>
          </w:p>
        </w:tc>
      </w:tr>
    </w:tbl>
    <w:p/>
    <w:p>
      <w:pPr>
        <w:pStyle w:val="Heading2"/>
      </w:pPr>
      <w:r>
        <w:t>What you may need to do yourself</w:t>
      </w:r>
    </w:p>
    <w:p>
      <w:pPr>
        <w:pStyle w:val="ListBullet"/>
      </w:pPr>
      <w:r>
        <w:rPr>
          <w:b/>
        </w:rPr>
        <w:t>Update the online link.</w:t>
      </w:r>
      <w:r>
        <w:rPr>
          <w:b w:val="0"/>
        </w:rPr>
        <w:t xml:space="preserve"> The online copy (claude.ai link) only refreshes when you ask Claude Code to "republish the site". The file on your PC is always up to date.</w:t>
      </w:r>
    </w:p>
    <w:p>
      <w:pPr>
        <w:pStyle w:val="ListBullet"/>
      </w:pPr>
      <w:r>
        <w:rPr>
          <w:b/>
        </w:rPr>
        <w:t>Add or remove a company.</w:t>
      </w:r>
      <w:r>
        <w:rPr>
          <w:b w:val="0"/>
        </w:rPr>
        <w:t xml:space="preserve"> Edit raw\manual\banks.csv or raw\manual\nbfcs.csv (for example after a merger or new listing).</w:t>
      </w:r>
    </w:p>
    <w:p>
      <w:pPr>
        <w:pStyle w:val="ListBullet"/>
      </w:pPr>
      <w:r>
        <w:rPr>
          <w:b/>
        </w:rPr>
        <w:t>If something breaks.</w:t>
      </w:r>
      <w:r>
        <w:rPr>
          <w:b w:val="0"/>
        </w:rPr>
        <w:t xml:space="preserve"> Websites change. If RBI or NSE redesign a page, a download step may fail. You'll see "failed" in logs\last_run.json; ask Claude Code to fix that step.</w:t>
      </w:r>
    </w:p>
    <w:p>
      <w:pPr>
        <w:pStyle w:val="ListBullet"/>
      </w:pPr>
      <w:r>
        <w:rPr>
          <w:b/>
        </w:rPr>
        <w:t>Changing the look of the site</w:t>
      </w:r>
      <w:r>
        <w:rPr>
          <w:b w:val="0"/>
        </w:rPr>
        <w:t xml:space="preserve"> needs Node: in the web folder run npm run release.</w:t>
      </w:r>
    </w:p>
    <w:p>
      <w:pPr>
        <w:pStyle w:val="Heading2"/>
      </w:pPr>
      <w:r>
        <w:t>Possible next improvements</w:t>
      </w:r>
    </w:p>
    <w:p>
      <w:pPr>
        <w:pStyle w:val="ListBullet"/>
      </w:pPr>
      <w:r>
        <w:rPr>
          <w:b w:val="0"/>
        </w:rPr>
        <w:t>Loan mix by product and branch counts from slide decks (the main remaining gap vs Indus).</w:t>
      </w:r>
    </w:p>
    <w:p>
      <w:pPr>
        <w:pStyle w:val="ListBullet"/>
      </w:pPr>
      <w:r>
        <w:rPr>
          <w:b w:val="0"/>
        </w:rPr>
        <w:t>Bad-loan movement tables (slippages, recoveries, write-offs) for PSU banks.</w:t>
      </w:r>
    </w:p>
    <w:p>
      <w:pPr>
        <w:pStyle w:val="ListBullet"/>
      </w:pPr>
      <w:r>
        <w:rPr>
          <w:b w:val="0"/>
        </w:rPr>
        <w:t>Longer history for sectoral credit (before 2024) and cards (before Nov 2025) by paging back through RBI's archive.</w:t>
      </w:r>
    </w:p>
    <w:p>
      <w:pPr>
        <w:pStyle w:val="ListBullet"/>
      </w:pPr>
      <w:r>
        <w:rPr>
          <w:b w:val="0"/>
        </w:rPr>
        <w:t>Turning the older chart code into fully typed React components (tidier code; no visible change).</w:t>
      </w:r>
    </w:p>
    <w:p>
      <w:pPr>
        <w:pStyle w:val="Heading1"/>
      </w:pPr>
      <w:r>
        <w:t>Glossary</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D3B6F"/>
          </w:tcPr>
          <w:p>
            <w:r/>
            <w:r>
              <w:rPr>
                <w:b/>
                <w:color w:val="FFFFFF"/>
                <w:sz w:val="20"/>
              </w:rPr>
              <w:t>Term</w:t>
            </w:r>
          </w:p>
        </w:tc>
        <w:tc>
          <w:tcPr>
            <w:tcW w:type="dxa" w:w="7370"/>
            <w:shd w:val="clear" w:color="auto" w:fill="1D3B6F"/>
          </w:tcPr>
          <w:p>
            <w:r/>
            <w:r>
              <w:rPr>
                <w:b/>
                <w:color w:val="FFFFFF"/>
                <w:sz w:val="20"/>
              </w:rPr>
              <w:t>Meaning</w:t>
            </w:r>
          </w:p>
        </w:tc>
      </w:tr>
      <w:tr>
        <w:tc>
          <w:tcPr>
            <w:tcW w:type="dxa" w:w="2041"/>
          </w:tcPr>
          <w:p>
            <w:r>
              <w:rPr>
                <w:sz w:val="20"/>
              </w:rPr>
            </w:r>
            <w:r>
              <w:rPr>
                <w:b w:val="0"/>
                <w:sz w:val="20"/>
              </w:rPr>
              <w:t>RBI</w:t>
            </w:r>
          </w:p>
        </w:tc>
        <w:tc>
          <w:tcPr>
            <w:tcW w:type="dxa" w:w="7370"/>
          </w:tcPr>
          <w:p>
            <w:r>
              <w:rPr>
                <w:sz w:val="20"/>
              </w:rPr>
            </w:r>
            <w:r>
              <w:rPr>
                <w:b w:val="0"/>
                <w:sz w:val="20"/>
              </w:rPr>
              <w:t>Reserve Bank of India, the central bank</w:t>
            </w:r>
          </w:p>
        </w:tc>
      </w:tr>
      <w:tr>
        <w:tc>
          <w:tcPr>
            <w:tcW w:type="dxa" w:w="2041"/>
          </w:tcPr>
          <w:p>
            <w:r>
              <w:rPr>
                <w:sz w:val="20"/>
              </w:rPr>
            </w:r>
            <w:r>
              <w:rPr>
                <w:b w:val="0"/>
                <w:sz w:val="20"/>
              </w:rPr>
              <w:t>MoSPI</w:t>
            </w:r>
          </w:p>
        </w:tc>
        <w:tc>
          <w:tcPr>
            <w:tcW w:type="dxa" w:w="7370"/>
          </w:tcPr>
          <w:p>
            <w:r>
              <w:rPr>
                <w:sz w:val="20"/>
              </w:rPr>
            </w:r>
            <w:r>
              <w:rPr>
                <w:b w:val="0"/>
                <w:sz w:val="20"/>
              </w:rPr>
              <w:t>Ministry of Statistics, publishes inflation (CPI)</w:t>
            </w:r>
          </w:p>
        </w:tc>
      </w:tr>
      <w:tr>
        <w:tc>
          <w:tcPr>
            <w:tcW w:type="dxa" w:w="2041"/>
          </w:tcPr>
          <w:p>
            <w:r>
              <w:rPr>
                <w:sz w:val="20"/>
              </w:rPr>
            </w:r>
            <w:r>
              <w:rPr>
                <w:b w:val="0"/>
                <w:sz w:val="20"/>
              </w:rPr>
              <w:t>NSE</w:t>
            </w:r>
          </w:p>
        </w:tc>
        <w:tc>
          <w:tcPr>
            <w:tcW w:type="dxa" w:w="7370"/>
          </w:tcPr>
          <w:p>
            <w:r>
              <w:rPr>
                <w:sz w:val="20"/>
              </w:rPr>
            </w:r>
            <w:r>
              <w:rPr>
                <w:b w:val="0"/>
                <w:sz w:val="20"/>
              </w:rPr>
              <w:t>National Stock Exchange, where companies file results</w:t>
            </w:r>
          </w:p>
        </w:tc>
      </w:tr>
      <w:tr>
        <w:tc>
          <w:tcPr>
            <w:tcW w:type="dxa" w:w="2041"/>
          </w:tcPr>
          <w:p>
            <w:r>
              <w:rPr>
                <w:sz w:val="20"/>
              </w:rPr>
            </w:r>
            <w:r>
              <w:rPr>
                <w:b w:val="0"/>
                <w:sz w:val="20"/>
              </w:rPr>
              <w:t>NBFC / HFC</w:t>
            </w:r>
          </w:p>
        </w:tc>
        <w:tc>
          <w:tcPr>
            <w:tcW w:type="dxa" w:w="7370"/>
          </w:tcPr>
          <w:p>
            <w:r>
              <w:rPr>
                <w:sz w:val="20"/>
              </w:rPr>
            </w:r>
            <w:r>
              <w:rPr>
                <w:b w:val="0"/>
                <w:sz w:val="20"/>
              </w:rPr>
              <w:t>Non-bank finance company / housing finance company</w:t>
            </w:r>
          </w:p>
        </w:tc>
      </w:tr>
      <w:tr>
        <w:tc>
          <w:tcPr>
            <w:tcW w:type="dxa" w:w="2041"/>
          </w:tcPr>
          <w:p>
            <w:r>
              <w:rPr>
                <w:sz w:val="20"/>
              </w:rPr>
            </w:r>
            <w:r>
              <w:rPr>
                <w:b w:val="0"/>
                <w:sz w:val="20"/>
              </w:rPr>
              <w:t>PSU bank</w:t>
            </w:r>
          </w:p>
        </w:tc>
        <w:tc>
          <w:tcPr>
            <w:tcW w:type="dxa" w:w="7370"/>
          </w:tcPr>
          <w:p>
            <w:r>
              <w:rPr>
                <w:sz w:val="20"/>
              </w:rPr>
            </w:r>
            <w:r>
              <w:rPr>
                <w:b w:val="0"/>
                <w:sz w:val="20"/>
              </w:rPr>
              <w:t>Government-owned bank (e.g. SBI)</w:t>
            </w:r>
          </w:p>
        </w:tc>
      </w:tr>
      <w:tr>
        <w:tc>
          <w:tcPr>
            <w:tcW w:type="dxa" w:w="2041"/>
          </w:tcPr>
          <w:p>
            <w:r>
              <w:rPr>
                <w:sz w:val="20"/>
              </w:rPr>
            </w:r>
            <w:r>
              <w:rPr>
                <w:b w:val="0"/>
                <w:sz w:val="20"/>
              </w:rPr>
              <w:t>SFB</w:t>
            </w:r>
          </w:p>
        </w:tc>
        <w:tc>
          <w:tcPr>
            <w:tcW w:type="dxa" w:w="7370"/>
          </w:tcPr>
          <w:p>
            <w:r>
              <w:rPr>
                <w:sz w:val="20"/>
              </w:rPr>
            </w:r>
            <w:r>
              <w:rPr>
                <w:b w:val="0"/>
                <w:sz w:val="20"/>
              </w:rPr>
              <w:t>Small finance bank</w:t>
            </w:r>
          </w:p>
        </w:tc>
      </w:tr>
      <w:tr>
        <w:tc>
          <w:tcPr>
            <w:tcW w:type="dxa" w:w="2041"/>
          </w:tcPr>
          <w:p>
            <w:r>
              <w:rPr>
                <w:sz w:val="20"/>
              </w:rPr>
            </w:r>
            <w:r>
              <w:rPr>
                <w:b w:val="0"/>
                <w:sz w:val="20"/>
              </w:rPr>
              <w:t>Repo rate</w:t>
            </w:r>
          </w:p>
        </w:tc>
        <w:tc>
          <w:tcPr>
            <w:tcW w:type="dxa" w:w="7370"/>
          </w:tcPr>
          <w:p>
            <w:r>
              <w:rPr>
                <w:sz w:val="20"/>
              </w:rPr>
            </w:r>
            <w:r>
              <w:rPr>
                <w:b w:val="0"/>
                <w:sz w:val="20"/>
              </w:rPr>
              <w:t>The RBI's main policy interest rate</w:t>
            </w:r>
          </w:p>
        </w:tc>
      </w:tr>
      <w:tr>
        <w:tc>
          <w:tcPr>
            <w:tcW w:type="dxa" w:w="2041"/>
          </w:tcPr>
          <w:p>
            <w:r>
              <w:rPr>
                <w:sz w:val="20"/>
              </w:rPr>
            </w:r>
            <w:r>
              <w:rPr>
                <w:b w:val="0"/>
                <w:sz w:val="20"/>
              </w:rPr>
              <w:t>MCLR</w:t>
            </w:r>
          </w:p>
        </w:tc>
        <w:tc>
          <w:tcPr>
            <w:tcW w:type="dxa" w:w="7370"/>
          </w:tcPr>
          <w:p>
            <w:r>
              <w:rPr>
                <w:sz w:val="20"/>
              </w:rPr>
            </w:r>
            <w:r>
              <w:rPr>
                <w:b w:val="0"/>
                <w:sz w:val="20"/>
              </w:rPr>
              <w:t>A bank's own benchmark lending rate, used for older floating-rate loans</w:t>
            </w:r>
          </w:p>
        </w:tc>
      </w:tr>
      <w:tr>
        <w:tc>
          <w:tcPr>
            <w:tcW w:type="dxa" w:w="2041"/>
          </w:tcPr>
          <w:p>
            <w:r>
              <w:rPr>
                <w:sz w:val="20"/>
              </w:rPr>
            </w:r>
            <w:r>
              <w:rPr>
                <w:b w:val="0"/>
                <w:sz w:val="20"/>
              </w:rPr>
              <w:t>CASA</w:t>
            </w:r>
          </w:p>
        </w:tc>
        <w:tc>
          <w:tcPr>
            <w:tcW w:type="dxa" w:w="7370"/>
          </w:tcPr>
          <w:p>
            <w:r>
              <w:rPr>
                <w:sz w:val="20"/>
              </w:rPr>
            </w:r>
            <w:r>
              <w:rPr>
                <w:b w:val="0"/>
                <w:sz w:val="20"/>
              </w:rPr>
              <w:t>Current and savings account deposits — cheap money for a bank</w:t>
            </w:r>
          </w:p>
        </w:tc>
      </w:tr>
      <w:tr>
        <w:tc>
          <w:tcPr>
            <w:tcW w:type="dxa" w:w="2041"/>
          </w:tcPr>
          <w:p>
            <w:r>
              <w:rPr>
                <w:sz w:val="20"/>
              </w:rPr>
            </w:r>
            <w:r>
              <w:rPr>
                <w:b w:val="0"/>
                <w:sz w:val="20"/>
              </w:rPr>
              <w:t>NPA / stage 3</w:t>
            </w:r>
          </w:p>
        </w:tc>
        <w:tc>
          <w:tcPr>
            <w:tcW w:type="dxa" w:w="7370"/>
          </w:tcPr>
          <w:p>
            <w:r>
              <w:rPr>
                <w:sz w:val="20"/>
              </w:rPr>
            </w:r>
            <w:r>
              <w:rPr>
                <w:b w:val="0"/>
                <w:sz w:val="20"/>
              </w:rPr>
              <w:t>Bad loans (bank / NBFC terms)</w:t>
            </w:r>
          </w:p>
        </w:tc>
      </w:tr>
      <w:tr>
        <w:tc>
          <w:tcPr>
            <w:tcW w:type="dxa" w:w="2041"/>
          </w:tcPr>
          <w:p>
            <w:r>
              <w:rPr>
                <w:sz w:val="20"/>
              </w:rPr>
            </w:r>
            <w:r>
              <w:rPr>
                <w:b w:val="0"/>
                <w:sz w:val="20"/>
              </w:rPr>
              <w:t>BSR-1 / BSR-2</w:t>
            </w:r>
          </w:p>
        </w:tc>
        <w:tc>
          <w:tcPr>
            <w:tcW w:type="dxa" w:w="7370"/>
          </w:tcPr>
          <w:p>
            <w:r>
              <w:rPr>
                <w:sz w:val="20"/>
              </w:rPr>
            </w:r>
            <w:r>
              <w:rPr>
                <w:b w:val="0"/>
                <w:sz w:val="20"/>
              </w:rPr>
              <w:t>RBI's Basic Statistical Returns: detailed annual surveys of bank loans (1) and deposits (2)</w:t>
            </w:r>
          </w:p>
        </w:tc>
      </w:tr>
      <w:tr>
        <w:tc>
          <w:tcPr>
            <w:tcW w:type="dxa" w:w="2041"/>
          </w:tcPr>
          <w:p>
            <w:r>
              <w:rPr>
                <w:sz w:val="20"/>
              </w:rPr>
            </w:r>
            <w:r>
              <w:rPr>
                <w:b w:val="0"/>
                <w:sz w:val="20"/>
              </w:rPr>
              <w:t>XBRL</w:t>
            </w:r>
          </w:p>
        </w:tc>
        <w:tc>
          <w:tcPr>
            <w:tcW w:type="dxa" w:w="7370"/>
          </w:tcPr>
          <w:p>
            <w:r>
              <w:rPr>
                <w:sz w:val="20"/>
              </w:rPr>
            </w:r>
            <w:r>
              <w:rPr>
                <w:b w:val="0"/>
                <w:sz w:val="20"/>
              </w:rPr>
              <w:t>Machine-readable format of company results filed with the exchange</w:t>
            </w:r>
          </w:p>
        </w:tc>
      </w:tr>
      <w:tr>
        <w:tc>
          <w:tcPr>
            <w:tcW w:type="dxa" w:w="2041"/>
          </w:tcPr>
          <w:p>
            <w:r>
              <w:rPr>
                <w:sz w:val="20"/>
              </w:rPr>
            </w:r>
            <w:r>
              <w:rPr>
                <w:b w:val="0"/>
                <w:sz w:val="20"/>
              </w:rPr>
              <w:t>Bhavcopy</w:t>
            </w:r>
          </w:p>
        </w:tc>
        <w:tc>
          <w:tcPr>
            <w:tcW w:type="dxa" w:w="7370"/>
          </w:tcPr>
          <w:p>
            <w:r>
              <w:rPr>
                <w:sz w:val="20"/>
              </w:rPr>
            </w:r>
            <w:r>
              <w:rPr>
                <w:b w:val="0"/>
                <w:sz w:val="20"/>
              </w:rPr>
              <w:t>NSE's daily file of closing share prices</w:t>
            </w:r>
          </w:p>
        </w:tc>
      </w:tr>
      <w:tr>
        <w:tc>
          <w:tcPr>
            <w:tcW w:type="dxa" w:w="2041"/>
          </w:tcPr>
          <w:p>
            <w:r>
              <w:rPr>
                <w:sz w:val="20"/>
              </w:rPr>
            </w:r>
            <w:r>
              <w:rPr>
                <w:b w:val="0"/>
                <w:sz w:val="20"/>
              </w:rPr>
              <w:t>₹1 lakh crore</w:t>
            </w:r>
          </w:p>
        </w:tc>
        <w:tc>
          <w:tcPr>
            <w:tcW w:type="dxa" w:w="7370"/>
          </w:tcPr>
          <w:p>
            <w:r>
              <w:rPr>
                <w:sz w:val="20"/>
              </w:rPr>
            </w:r>
            <w:r>
              <w:rPr>
                <w:b w:val="0"/>
                <w:sz w:val="20"/>
              </w:rPr>
              <w:t>₹1 trillion</w:t>
            </w:r>
          </w:p>
        </w:tc>
      </w:tr>
    </w:tbl>
    <w:p/>
    <w:p>
      <w:pPr>
        <w:jc w:val="center"/>
      </w:pPr>
      <w:r>
        <w:rPr>
          <w:i/>
          <w:color w:val="555B63"/>
          <w:sz w:val="18"/>
        </w:rPr>
        <w:t>This is an analysis of public data, not investment advice.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0"/>
      <w:outlineLvl w:val="0"/>
    </w:pPr>
    <w:rPr>
      <w:rFonts w:asciiTheme="majorHAnsi" w:eastAsiaTheme="majorEastAsia" w:hAnsiTheme="majorHAnsi" w:cstheme="majorBidi" w:ascii="Georgia" w:hAnsi="Georgia" w:eastAsia="Georgia" w:cs="Georgia"/>
      <w:b/>
      <w:bCs/>
      <w:color w:val="1D3B6F"/>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Georgia" w:hAnsi="Georgia" w:eastAsia="Georgia" w:cs="Georgia"/>
      <w:b/>
      <w:bCs/>
      <w:color w:val="1D3B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cs="Georgia"/>
      <w:b/>
      <w:bCs/>
      <w:color w:val="C241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cs="Georgia"/>
      <w:b w:val="0"/>
      <w:color w:val="1D3B6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