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val="0"/>
          <w:i/>
          <w:sz w:val="22"/>
        </w:rPr>
        <w:t>Danny Valdiviezo</w:t>
      </w:r>
      <w:r>
        <w:rPr>
          <w:rFonts w:ascii="Times New Roman" w:hAnsi="Times New Roman"/>
          <w:b w:val="0"/>
          <w:i w:val="0"/>
          <w:sz w:val="22"/>
        </w:rPr>
        <w:t xml:space="preserve">^1^, </w:t>
      </w:r>
      <w:r>
        <w:rPr>
          <w:rFonts w:ascii="Times New Roman" w:hAnsi="Times New Roman"/>
          <w:b w:val="0"/>
          <w:i/>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val="0"/>
          <w:i/>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val="0"/>
          <w:i/>
          <w:sz w:val="22"/>
        </w:rPr>
        <w:t>Recuento de palabras:</w:t>
      </w:r>
      <w:r>
        <w:rPr>
          <w:rFonts w:ascii="Times New Roman" w:hAnsi="Times New Roman"/>
          <w:b w:val="0"/>
          <w:i w:val="0"/>
          <w:sz w:val="22"/>
        </w:rPr>
        <w:t xml:space="preserve"> resumen 262; texto principal 7 514.</w:t>
      </w:r>
    </w:p>
    <w:p>
      <w:pPr>
        <w:jc w:val="both"/>
      </w:pPr>
      <w:r>
        <w:rPr>
          <w:rFonts w:ascii="Times New Roman" w:hAnsi="Times New Roman"/>
          <w:b w:val="0"/>
          <w:i/>
          <w:sz w:val="22"/>
        </w:rPr>
        <w:t>Tablas:</w:t>
      </w:r>
      <w:r>
        <w:rPr>
          <w:rFonts w:ascii="Times New Roman" w:hAnsi="Times New Roman"/>
          <w:b w:val="0"/>
          <w:i w:val="0"/>
          <w:sz w:val="22"/>
        </w:rPr>
        <w:t xml:space="preserve"> 6. </w:t>
      </w:r>
      <w:r>
        <w:rPr>
          <w:rFonts w:ascii="Times New Roman" w:hAnsi="Times New Roman"/>
          <w:b w:val="0"/>
          <w:i/>
          <w:sz w:val="22"/>
        </w:rPr>
        <w:t>Figuras:</w:t>
      </w:r>
      <w:r>
        <w:rPr>
          <w:rFonts w:ascii="Times New Roman" w:hAnsi="Times New Roman"/>
          <w:b w:val="0"/>
          <w:i w:val="0"/>
          <w:sz w:val="22"/>
        </w:rPr>
        <w:t xml:space="preserve"> 2. </w:t>
      </w:r>
      <w:r>
        <w:rPr>
          <w:rFonts w:ascii="Times New Roman" w:hAnsi="Times New Roman"/>
          <w:b w:val="0"/>
          <w:i/>
          <w:sz w:val="22"/>
        </w:rPr>
        <w:t>Material suplementario:</w:t>
      </w:r>
      <w:r>
        <w:rPr>
          <w:rFonts w:ascii="Times New Roman" w:hAnsi="Times New Roman"/>
          <w:b w:val="0"/>
          <w:i w:val="0"/>
          <w:sz w:val="22"/>
        </w:rPr>
        <w:t xml:space="preserve"> 16 anexos (S0–S15) y su guía.</w:t>
      </w:r>
    </w:p>
    <w:p>
      <w:pPr>
        <w:spacing w:before="280" w:after="140"/>
      </w:pPr>
      <w:r>
        <w:rPr>
          <w:rFonts w:ascii="Times New Roman" w:hAnsi="Times New Roman"/>
          <w:b/>
          <w:i w:val="0"/>
          <w:sz w:val="24"/>
        </w:rPr>
        <w:t>Resumen</w:t>
      </w:r>
    </w:p>
    <w:p>
      <w:pPr>
        <w:jc w:val="both"/>
      </w:pPr>
      <w:r>
        <w:rPr>
          <w:rFonts w:ascii="Times New Roman" w:hAnsi="Times New Roman"/>
          <w:b w:val="0"/>
          <w:i/>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val="0"/>
          <w:i/>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val="0"/>
          <w:i/>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val="0"/>
          <w:i/>
          <w:sz w:val="22"/>
        </w:rPr>
        <w:t>enmienda posterior al cribado</w:t>
      </w:r>
      <w:r>
        <w:rPr>
          <w:rFonts w:ascii="Times New Roman" w:hAnsi="Times New Roman"/>
          <w:b w:val="0"/>
          <w:i w:val="0"/>
          <w:sz w:val="22"/>
        </w:rPr>
        <w:t xml:space="preserve"> y verificado sobre el texto completo. La unidad fue el estudio. Extracción manual por duplicado, con consenso: la estructura sale de una pre-extracción desde el resumen; los desenlaces, de la adjudicada.</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únicos;233 informes formaron 183 estudios y, al leer los textos completos, </w:t>
      </w:r>
      <w:r>
        <w:rPr>
          <w:rFonts w:ascii="Times New Roman" w:hAnsi="Times New Roman"/>
          <w:b w:val="0"/>
          <w:i/>
          <w:sz w:val="22"/>
        </w:rPr>
        <w:t>46 salieron del corpus</w:t>
      </w:r>
      <w:r>
        <w:rPr>
          <w:rFonts w:ascii="Times New Roman" w:hAnsi="Times New Roman"/>
          <w:b w:val="0"/>
          <w:i w:val="0"/>
          <w:sz w:val="22"/>
        </w:rPr>
        <w:t xml:space="preserve">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val="0"/>
          <w:i/>
          <w:sz w:val="22"/>
        </w:rPr>
        <w:t>137</w:t>
      </w:r>
      <w:r>
        <w:rPr>
          <w:rFonts w:ascii="Times New Roman" w:hAnsi="Times New Roman"/>
          <w:b w:val="0"/>
          <w:i w:val="0"/>
          <w:sz w:val="22"/>
        </w:rP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rFonts w:ascii="Times New Roman" w:hAnsi="Times New Roman"/>
          <w:b w:val="0"/>
          <w:i/>
          <w:sz w:val="22"/>
        </w:rPr>
        <w:t>no queda ninguno</w:t>
      </w:r>
      <w:r>
        <w:rPr>
          <w:rFonts w:ascii="Times New Roman" w:hAnsi="Times New Roman"/>
          <w:b w:val="0"/>
          <w:i w:val="0"/>
          <w:sz w:val="22"/>
        </w:rPr>
        <w:t>.</w:t>
      </w:r>
    </w:p>
    <w:p>
      <w:pPr>
        <w:jc w:val="both"/>
      </w:pPr>
      <w:r>
        <w:rPr>
          <w:rFonts w:ascii="Times New Roman" w:hAnsi="Times New Roman"/>
          <w:b w:val="0"/>
          <w:i/>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val="0"/>
          <w:i/>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val="0"/>
          <w:i/>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val="0"/>
          <w:i/>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val="0"/>
          <w:i/>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val="0"/>
          <w:i/>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val="0"/>
          <w:i/>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val="0"/>
          <w:i/>
          <w:sz w:val="22"/>
        </w:rPr>
        <w:t>Idioma.</w:t>
      </w:r>
      <w:r>
        <w:rPr>
          <w:rFonts w:ascii="Times New Roman" w:hAnsi="Times New Roman"/>
          <w:b w:val="0"/>
          <w:i w:val="0"/>
          <w:sz w:val="22"/>
        </w:rPr>
        <w:t xml:space="preserve"> Se admitieron informes redactados en inglés o en español. </w:t>
      </w:r>
      <w:r>
        <w:rPr>
          <w:rFonts w:ascii="Times New Roman" w:hAnsi="Times New Roman"/>
          <w:b w:val="0"/>
          <w:i/>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val="0"/>
          <w:i/>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pPr>
        <w:jc w:val="both"/>
      </w:pPr>
      <w:r>
        <w:rPr>
          <w:rFonts w:ascii="Times New Roman" w:hAnsi="Times New Roman"/>
          <w:b w:val="0"/>
          <w:i/>
          <w:sz w:val="22"/>
        </w:rPr>
        <w:t>Unidad de inclusión.</w:t>
      </w:r>
      <w:r>
        <w:rPr>
          <w:rFonts w:ascii="Times New Roman" w:hAnsi="Times New Roman"/>
          <w:b w:val="0"/>
          <w:i w:val="0"/>
          <w:sz w:val="22"/>
        </w:rPr>
        <w:t xml:space="preserve"> El </w:t>
      </w:r>
      <w:r>
        <w:rPr>
          <w:rFonts w:ascii="Times New Roman" w:hAnsi="Times New Roman"/>
          <w:b w:val="0"/>
          <w:i/>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val="0"/>
          <w:i/>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val="0"/>
          <w:i/>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val="0"/>
          <w:i/>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val="0"/>
          <w:i/>
          <w:sz w:val="22"/>
        </w:rPr>
        <w:t>Embase no se interrogó</w:t>
      </w:r>
      <w:r>
        <w:rPr>
          <w:rFonts w:ascii="Times New Roman" w:hAnsi="Times New Roman"/>
          <w:b w:val="0"/>
          <w:i w:val="0"/>
          <w:sz w:val="22"/>
        </w:rPr>
        <w:t>, por no estar disponible en la suscripción institucional, y tampoco el ICTRP de la OMS. La última ejecución fue el 10 de agosto de 2026.</w:t>
      </w:r>
    </w:p>
    <w:p>
      <w:pPr>
        <w:jc w:val="both"/>
      </w:pPr>
      <w:r>
        <w:rPr>
          <w:rFonts w:ascii="Times New Roman" w:hAnsi="Times New Roman"/>
          <w:b w:val="0"/>
          <w:i w:val="0"/>
          <w:sz w:val="22"/>
        </w:rP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val="0"/>
          <w:i/>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val="0"/>
          <w:i/>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val="0"/>
          <w:i/>
          <w:sz w:val="22"/>
        </w:rPr>
        <w:t>etapa 2</w:t>
      </w:r>
      <w:r>
        <w:rPr>
          <w:rFonts w:ascii="Times New Roman" w:hAnsi="Times New Roman"/>
          <w:b w:val="0"/>
          <w:i w:val="0"/>
          <w:sz w:val="22"/>
        </w:rPr>
        <w:t xml:space="preserve"> cribó títulos y la </w:t>
      </w:r>
      <w:r>
        <w:rPr>
          <w:rFonts w:ascii="Times New Roman" w:hAnsi="Times New Roman"/>
          <w:b w:val="0"/>
          <w:i/>
          <w:sz w:val="22"/>
        </w:rPr>
        <w:t>etapa 3</w:t>
      </w:r>
      <w:r>
        <w:rPr>
          <w:rFonts w:ascii="Times New Roman" w:hAnsi="Times New Roman"/>
          <w:b w:val="0"/>
          <w:i w:val="0"/>
          <w:sz w:val="22"/>
        </w:rPr>
        <w:t xml:space="preserve">, resúmenes. Ambas usaron un </w:t>
      </w:r>
      <w:r>
        <w:rPr>
          <w:rFonts w:ascii="Times New Roman" w:hAnsi="Times New Roman"/>
          <w:b w:val="0"/>
          <w:i/>
          <w:sz w:val="22"/>
        </w:rPr>
        <w:t>vocabulario cerrado de seis códigos</w:t>
      </w:r>
      <w:r>
        <w:rPr>
          <w:rFonts w:ascii="Times New Roman" w:hAnsi="Times New Roman"/>
          <w:b w:val="0"/>
          <w:i w:val="0"/>
          <w:sz w:val="22"/>
        </w:rPr>
        <w:t xml:space="preserve"> (ORG, REV, SEC, LAB, VET, OFF) fijado antes de empezar. Un motivo que no encaje en uno de los seis no recibe un séptimo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etapas 2 y 3 las condujo </w:t>
      </w:r>
      <w:r>
        <w:rPr>
          <w:rFonts w:ascii="Times New Roman" w:hAnsi="Times New Roman"/>
          <w:b w:val="0"/>
          <w:i/>
          <w:sz w:val="22"/>
        </w:rPr>
        <w:t>un solo revisor humano (D.V.), sin duplicación por un segundo revisor</w:t>
      </w:r>
      <w:r>
        <w:rPr>
          <w:rFonts w:ascii="Times New Roman" w:hAnsi="Times New Roman"/>
          <w:b w:val="0"/>
          <w:i w:val="0"/>
          <w:sz w:val="22"/>
        </w:rP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val="0"/>
          <w:i/>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val="0"/>
          <w:i/>
          <w:sz w:val="22"/>
        </w:rPr>
        <w:t>extracción desde el texto completo</w:t>
      </w:r>
      <w:r>
        <w:rPr>
          <w:rFonts w:ascii="Times New Roman" w:hAnsi="Times New Roman"/>
          <w:b w:val="0"/>
          <w:i w:val="0"/>
          <w:sz w:val="22"/>
        </w:rPr>
        <w:t>, de la que salen la sección 3.5 y la tabla 5, la realizaron los dos revisores a mano y sin intervención del modelo (sección 2.6).</w:t>
      </w:r>
    </w:p>
    <w:p>
      <w:pPr>
        <w:jc w:val="both"/>
      </w:pPr>
      <w:r>
        <w:rPr>
          <w:rFonts w:ascii="Times New Roman" w:hAnsi="Times New Roman"/>
          <w:b w:val="0"/>
          <w:i w:val="0"/>
          <w:sz w:val="22"/>
        </w:rPr>
        <w:t xml:space="preserve">Los registros de decisión son </w:t>
      </w:r>
      <w:r>
        <w:rPr>
          <w:rFonts w:ascii="Times New Roman" w:hAnsi="Times New Roman"/>
          <w:b w:val="0"/>
          <w:i/>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40 estudios conocidos a priori como elegibles, identificados en una revisión exploratoria previa. Tras cada etapa se comprobó que </w:t>
      </w:r>
      <w:r>
        <w:rPr>
          <w:rFonts w:ascii="Times New Roman" w:hAnsi="Times New Roman"/>
          <w:b w:val="0"/>
          <w:i/>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jc w:val="both"/>
      </w:pPr>
      <w:r>
        <w:rPr>
          <w:rFonts w:ascii="Times New Roman" w:hAnsi="Times New Roman"/>
          <w:b w:val="0"/>
          <w:i/>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rFonts w:ascii="Times New Roman" w:hAnsi="Times New Roman"/>
          <w:b w:val="0"/>
          <w:i/>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con 23 variables de datos y vocabularios controlados, se piloteó sobre cinco estudios antes de su uso. La extracción se hizo </w:t>
      </w:r>
      <w:r>
        <w:rPr>
          <w:rFonts w:ascii="Times New Roman" w:hAnsi="Times New Roman"/>
          <w:b w:val="0"/>
          <w:i/>
          <w:sz w:val="22"/>
        </w:rPr>
        <w:t>por duplicado e independiente</w:t>
      </w:r>
      <w:r>
        <w:rPr>
          <w:rFonts w:ascii="Times New Roman" w:hAnsi="Times New Roman"/>
          <w:b w:val="0"/>
          <w:i w:val="0"/>
          <w:sz w:val="22"/>
        </w:rP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pPr>
        <w:jc w:val="both"/>
      </w:pPr>
      <w:r>
        <w:rPr>
          <w:rFonts w:ascii="Times New Roman" w:hAnsi="Times New Roman"/>
          <w:b w:val="0"/>
          <w:i w:val="0"/>
          <w:sz w:val="22"/>
        </w:rPr>
        <w:t>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val="0"/>
          <w:i/>
          <w:sz w:val="22"/>
        </w:rPr>
        <w:t>solo en los estudios con diseño comparativo y solo en aquellos cuyo texto completo se obtuvo</w:t>
      </w:r>
      <w:r>
        <w:rPr>
          <w:rFonts w:ascii="Times New Roman" w:hAnsi="Times New Roman"/>
          <w:b w:val="0"/>
          <w:i w:val="0"/>
          <w:sz w:val="22"/>
        </w:rPr>
        <w:t>: 11 de los 14 que el diseño adjudicado sobre el artículo identifica como comparativos. Los ensayos aleatorizados con RoB 2 (10) y los no aleatorizados y las cohortes con ROBINS-I (11). El estudio restante es un ensayo aleatorizado sin texto completo: no se evalúa, y tampoco recibe un juicio desfavorable por esa razón.</w:t>
      </w:r>
    </w:p>
    <w:p>
      <w:pPr>
        <w:jc w:val="both"/>
      </w:pPr>
      <w:r>
        <w:rPr>
          <w:rFonts w:ascii="Times New Roman" w:hAnsi="Times New Roman"/>
          <w:b w:val="0"/>
          <w:i w:val="0"/>
          <w:sz w:val="22"/>
        </w:rPr>
        <w:t xml:space="preserve">La evaluación se emite </w:t>
      </w:r>
      <w:r>
        <w:rPr>
          <w:rFonts w:ascii="Times New Roman" w:hAnsi="Times New Roman"/>
          <w:b w:val="0"/>
          <w:i/>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val="0"/>
          <w:i/>
          <w:sz w:val="22"/>
        </w:rPr>
        <w:t>Los juicios se emiten por consenso entre los dos autores, no por duplicado independiente.</w:t>
      </w:r>
      <w:r>
        <w:rPr>
          <w:rFonts w:ascii="Times New Roman" w:hAnsi="Times New Roman"/>
          <w:b w:val="0"/>
          <w:i w:val="0"/>
          <w:sz w:val="22"/>
        </w:rPr>
        <w:t xml:space="preserve"> A diferencia de la extracción de datos (sección 2.6), esta evaluación no admite una medida de concordancia entre revisores, y no se reporta ninguna. La limitación consta en la sección 4.4.</w:t>
      </w:r>
    </w:p>
    <w:p>
      <w:pPr>
        <w:jc w:val="both"/>
      </w:pPr>
      <w:r>
        <w:rPr>
          <w:rFonts w:ascii="Times New Roman" w:hAnsi="Times New Roman"/>
          <w:b w:val="0"/>
          <w:i/>
          <w:sz w:val="22"/>
        </w:rPr>
        <w:t>GRADE no se aplica</w:t>
      </w:r>
      <w:r>
        <w:rPr>
          <w:rFonts w:ascii="Times New Roman" w:hAnsi="Times New Roman"/>
          <w:b w:val="0"/>
          <w:i w:val="0"/>
          <w:sz w:val="22"/>
        </w:rP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82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Dos enmiendas al protocolo</w:t>
      </w:r>
    </w:p>
    <w:p>
      <w:pPr>
        <w:jc w:val="both"/>
      </w:pPr>
      <w:r>
        <w:rPr>
          <w:rFonts w:ascii="Times New Roman" w:hAnsi="Times New Roman"/>
          <w:b w:val="0"/>
          <w:i w:val="0"/>
          <w:sz w:val="22"/>
        </w:rP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val="0"/>
          <w:i/>
          <w:sz w:val="22"/>
        </w:rPr>
        <w:t>35 informes</w:t>
      </w:r>
      <w:r>
        <w:rPr>
          <w:rFonts w:ascii="Times New Roman" w:hAnsi="Times New Roman"/>
          <w:b w:val="0"/>
          <w:i w:val="0"/>
          <w:sz w:val="22"/>
        </w:rPr>
        <w:t xml:space="preserve"> y con ellos </w:t>
      </w:r>
      <w:r>
        <w:rPr>
          <w:rFonts w:ascii="Times New Roman" w:hAnsi="Times New Roman"/>
          <w:b w:val="0"/>
          <w:i/>
          <w:sz w:val="22"/>
        </w:rPr>
        <w:t>35 estudios completos</w:t>
      </w:r>
      <w:r>
        <w:rPr>
          <w:rFonts w:ascii="Times New Roman" w:hAnsi="Times New Roman"/>
          <w:b w:val="0"/>
          <w:i w:val="0"/>
          <w:sz w:val="22"/>
        </w:rP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val="0"/>
          <w:i/>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val="0"/>
          <w:i/>
          <w:sz w:val="22"/>
        </w:rPr>
        <w:t>Segunda enmienda: los estudios cuyo texto completo no se consiguió salen del corpus.</w:t>
      </w:r>
      <w:r>
        <w:rPr>
          <w:rFonts w:ascii="Times New Roman" w:hAnsi="Times New Roman"/>
          <w:b w:val="0"/>
          <w:i w:val="0"/>
          <w:sz w:val="22"/>
        </w:rPr>
        <w:t xml:space="preserve"> Adoptada el 2 de septiembre de 2026, también con el cribado concluido. Es de otra naturaleza que la primera y conviene no disimularlo: los demás motivos de exclusión se refieren a lo que el </w:t>
      </w:r>
      <w:r>
        <w:rPr>
          <w:rFonts w:ascii="Times New Roman" w:hAnsi="Times New Roman"/>
          <w:b w:val="0"/>
          <w:i/>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val="0"/>
          <w:i/>
          <w:sz w:val="22"/>
        </w:rPr>
        <w:t>esta revisión no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val="0"/>
          <w:i/>
          <w:sz w:val="22"/>
        </w:rPr>
        <w:t>1 estudio</w:t>
      </w:r>
      <w:r>
        <w:rPr>
          <w:rFonts w:ascii="Times New Roman" w:hAnsi="Times New Roman"/>
          <w:b w:val="0"/>
          <w:i w:val="0"/>
          <w:sz w:val="22"/>
        </w:rP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rFonts w:ascii="Times New Roman" w:hAnsi="Times New Roman"/>
          <w:b w:val="0"/>
          <w:i/>
          <w:sz w:val="22"/>
        </w:rPr>
        <w:t>aplicado a los 24 estudios que siguen sin texto completo, el corpus pasaría de 137 a 113 estudios, los comparativos de 11 a 5 y los ensayos aleatorizados de 7 a 3</w:t>
      </w:r>
      <w:r>
        <w:rPr>
          <w:rFonts w:ascii="Times New Roman" w:hAnsi="Times New Roman"/>
          <w:b w:val="0"/>
          <w:i w:val="0"/>
          <w:sz w:val="22"/>
        </w:rPr>
        <w:t xml:space="preserve">, y la tasa de recuperación de texto completo pasaría a ser del 100 % </w:t>
      </w:r>
      <w:r>
        <w:rPr>
          <w:rFonts w:ascii="Times New Roman" w:hAnsi="Times New Roman"/>
          <w:b w:val="0"/>
          <w:i/>
          <w:sz w:val="22"/>
        </w:rPr>
        <w:t>por construcción</w:t>
      </w:r>
      <w:r>
        <w:rPr>
          <w:rFonts w:ascii="Times New Roman" w:hAnsi="Times New Roman"/>
          <w:b w:val="0"/>
          <w:i w:val="0"/>
          <w:sz w:val="22"/>
        </w:rP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ocho fuentes aportaron </w:t>
      </w:r>
      <w:r>
        <w:rPr>
          <w:rFonts w:ascii="Times New Roman" w:hAnsi="Times New Roman"/>
          <w:b w:val="0"/>
          <w:i/>
          <w:sz w:val="22"/>
        </w:rPr>
        <w:t>23 057 registros</w:t>
      </w:r>
      <w:r>
        <w:rPr>
          <w:rFonts w:ascii="Times New Roman" w:hAnsi="Times New Roman"/>
          <w:b w:val="0"/>
          <w:i w:val="0"/>
          <w:sz w:val="22"/>
        </w:rPr>
        <w:t xml:space="preserve">, de los que se eliminaron 5 928 duplicados para dejar </w:t>
      </w:r>
      <w:r>
        <w:rPr>
          <w:rFonts w:ascii="Times New Roman" w:hAnsi="Times New Roman"/>
          <w:b w:val="0"/>
          <w:i/>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val="0"/>
          <w:i/>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val="0"/>
          <w:i/>
          <w:sz w:val="22"/>
        </w:rPr>
        <w:t>183 estudios evaluados para elegibilidad</w:t>
      </w:r>
      <w:r>
        <w:rPr>
          <w:rFonts w:ascii="Times New Roman" w:hAnsi="Times New Roman"/>
          <w:b w:val="0"/>
          <w:i w:val="0"/>
          <w:sz w:val="22"/>
        </w:rPr>
        <w:t xml:space="preserve">. Al leer sus textos completos durante la extracción se comprobó que </w:t>
      </w:r>
      <w:r>
        <w:rPr>
          <w:rFonts w:ascii="Times New Roman" w:hAnsi="Times New Roman"/>
          <w:b w:val="0"/>
          <w:i/>
          <w:sz w:val="22"/>
        </w:rPr>
        <w:t>46 de ellos salieron del corpus</w:t>
      </w:r>
      <w:r>
        <w:rPr>
          <w:rFonts w:ascii="Times New Roman" w:hAnsi="Times New Roman"/>
          <w:b w:val="0"/>
          <w:i w:val="0"/>
          <w:sz w:val="22"/>
        </w:rPr>
        <w:t xml:space="preserve">, y se excluyeron; el apartado siguiente los detalla. El cuerpo de evidencia queda en </w:t>
      </w:r>
      <w:r>
        <w:rPr>
          <w:rFonts w:ascii="Times New Roman" w:hAnsi="Times New Roman"/>
          <w:b w:val="0"/>
          <w:i/>
          <w:sz w:val="22"/>
        </w:rPr>
        <w:t>137 estudios</w:t>
      </w:r>
      <w:r>
        <w:rPr>
          <w:rFonts w:ascii="Times New Roman" w:hAnsi="Times New Roman"/>
          <w:b w:val="0"/>
          <w:i w:val="0"/>
          <w:sz w:val="22"/>
        </w:rPr>
        <w:t>, que agrupan 171 informes: 115 con un solo informe y 22 con varios, hasta un máximo de once informes de un mismo ensayo.</w:t>
      </w:r>
    </w:p>
    <w:p>
      <w:pPr>
        <w:spacing w:before="200" w:after="100"/>
      </w:pPr>
      <w:r>
        <w:rPr>
          <w:rFonts w:ascii="Times New Roman" w:hAnsi="Times New Roman"/>
          <w:b/>
          <w:i w:val="0"/>
          <w:sz w:val="22"/>
        </w:rPr>
        <w:t>3.1.1 Los 46 estudios que el cribado admitió y que salieron después</w:t>
      </w:r>
    </w:p>
    <w:p>
      <w:pPr>
        <w:jc w:val="both"/>
      </w:pPr>
      <w:r>
        <w:rPr>
          <w:rFonts w:ascii="Times New Roman" w:hAnsi="Times New Roman"/>
          <w:b w:val="0"/>
          <w:i/>
          <w:sz w:val="22"/>
        </w:rPr>
        <w:t>Veintinueve salieron al juzgarlos sobre su publicación.</w:t>
      </w:r>
      <w:r>
        <w:rPr>
          <w:rFonts w:ascii="Times New Roman" w:hAnsi="Times New Roman"/>
          <w:b w:val="0"/>
          <w:i w:val="0"/>
          <w:sz w:val="22"/>
        </w:rPr>
        <w:t xml:space="preserve"> Se excluyeron por ocho motivos, y ninguno es una discrepancia de criterio: son estudios que no cumplen lo que la sección 2.2 ya exigía. </w:t>
      </w:r>
      <w:r>
        <w:rPr>
          <w:rFonts w:ascii="Times New Roman" w:hAnsi="Times New Roman"/>
          <w:b w:val="0"/>
          <w:i/>
          <w:sz w:val="22"/>
        </w:rPr>
        <w:t>Veinticuatro</w:t>
      </w:r>
      <w:r>
        <w:rPr>
          <w:rFonts w:ascii="Times New Roman" w:hAnsi="Times New Roman"/>
          <w:b w:val="0"/>
          <w:i w:val="0"/>
          <w:sz w:val="22"/>
        </w:rPr>
        <w:t xml:space="preserve"> salieron de leer su artículo. </w:t>
      </w:r>
      <w:r>
        <w:rPr>
          <w:rFonts w:ascii="Times New Roman" w:hAnsi="Times New Roman"/>
          <w:b w:val="0"/>
          <w:i/>
          <w:sz w:val="22"/>
        </w:rPr>
        <w:t>Once</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o en la lista de referencias—; uno de ellos no nombra microorganismo alguno. </w:t>
      </w:r>
      <w:r>
        <w:rPr>
          <w:rFonts w:ascii="Times New Roman" w:hAnsi="Times New Roman"/>
          <w:b w:val="0"/>
          <w:i/>
          <w:sz w:val="22"/>
        </w:rPr>
        <w:t>Cuatro</w:t>
      </w:r>
      <w:r>
        <w:rPr>
          <w:rFonts w:ascii="Times New Roman" w:hAnsi="Times New Roman"/>
          <w:b w:val="0"/>
          <w:i w:val="0"/>
          <w:sz w:val="22"/>
        </w:rPr>
        <w:t xml:space="preserve"> son protocolos de estudio: describen lo que se hará y no reportan desenlaces. </w:t>
      </w:r>
      <w:r>
        <w:rPr>
          <w:rFonts w:ascii="Times New Roman" w:hAnsi="Times New Roman"/>
          <w:b w:val="0"/>
          <w:i/>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val="0"/>
          <w:i/>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val="0"/>
          <w:i/>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val="0"/>
          <w:i/>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w:t>
      </w:r>
    </w:p>
    <w:p>
      <w:pPr>
        <w:jc w:val="both"/>
      </w:pPr>
      <w:r>
        <w:rPr>
          <w:rFonts w:ascii="Times New Roman" w:hAnsi="Times New Roman"/>
          <w:b w:val="0"/>
          <w:i w:val="0"/>
          <w:sz w:val="22"/>
        </w:rPr>
        <w:t xml:space="preserve">Los </w:t>
      </w:r>
      <w:r>
        <w:rPr>
          <w:rFonts w:ascii="Times New Roman" w:hAnsi="Times New Roman"/>
          <w:b w:val="0"/>
          <w:i/>
          <w:sz w:val="22"/>
        </w:rPr>
        <w:t>cuatro restantes</w:t>
      </w:r>
      <w:r>
        <w:rPr>
          <w:rFonts w:ascii="Times New Roman" w:hAnsi="Times New Roman"/>
          <w:b w:val="0"/>
          <w:i w:val="0"/>
          <w:sz w:val="22"/>
        </w:rPr>
        <w:t xml:space="preserve"> salieron por </w:t>
      </w:r>
      <w:r>
        <w:rPr>
          <w:rFonts w:ascii="Times New Roman" w:hAnsi="Times New Roman"/>
          <w:b w:val="0"/>
          <w:i/>
          <w:sz w:val="22"/>
        </w:rPr>
        <w:t>idioma</w:t>
      </w:r>
      <w:r>
        <w:rPr>
          <w:rFonts w:ascii="Times New Roman" w:hAnsi="Times New Roman"/>
          <w:b w:val="0"/>
          <w:i w:val="0"/>
          <w:sz w:val="22"/>
        </w:rP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rFonts w:ascii="Times New Roman" w:hAnsi="Times New Roman"/>
          <w:b w:val="0"/>
          <w:i/>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val="0"/>
          <w:i/>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son </w:t>
      </w:r>
      <w:r>
        <w:rPr>
          <w:rFonts w:ascii="Times New Roman" w:hAnsi="Times New Roman"/>
          <w:b w:val="0"/>
          <w:i/>
          <w:sz w:val="22"/>
        </w:rPr>
        <w:t>29 de los 95 estudios extraíbles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val="0"/>
          <w:i/>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22 son la otra cara de esa limitación, y son el </w:t>
      </w:r>
      <w:r>
        <w:rPr>
          <w:rFonts w:ascii="Times New Roman" w:hAnsi="Times New Roman"/>
          <w:b w:val="0"/>
          <w:i/>
          <w:sz w:val="22"/>
        </w:rPr>
        <w:t>23,7 %</w:t>
      </w:r>
      <w:r>
        <w:rPr>
          <w:rFonts w:ascii="Times New Roman" w:hAnsi="Times New Roman"/>
          <w:b w:val="0"/>
          <w:i w:val="0"/>
          <w:sz w:val="22"/>
        </w:rPr>
        <w:t xml:space="preserve"> de los 93 estudios cuyo texto completo se pudo leer. Es un suelo, no un total: los 31 estudios sin texto completo no se han podido comprobar contra nada.</w:t>
      </w:r>
    </w:p>
    <w:p>
      <w:pPr>
        <w:jc w:val="both"/>
      </w:pPr>
      <w:r>
        <w:rPr>
          <w:rFonts w:ascii="Times New Roman" w:hAnsi="Times New Roman"/>
          <w:b w:val="0"/>
          <w:i/>
          <w:sz w:val="22"/>
        </w:rPr>
        <w:t>Otros 17 estudios salieron por una vía distinta: la ficha de su registro.</w:t>
      </w:r>
      <w:r>
        <w:rPr>
          <w:rFonts w:ascii="Times New Roman" w:hAnsi="Times New Roman"/>
          <w:b w:val="0"/>
          <w:i w:val="0"/>
          <w:sz w:val="22"/>
        </w:rPr>
        <w:t xml:space="preserve"> Los 29 anteriores se juzgaron sobre el artículo; estos no tienen artículo. Entraron al corpus porque su registro exportado traía </w:t>
      </w:r>
      <w:r>
        <w:rPr>
          <w:rFonts w:ascii="Times New Roman" w:hAnsi="Times New Roman"/>
          <w:b w:val="0"/>
          <w:i/>
          <w:sz w:val="22"/>
        </w:rPr>
        <w:t>solo el título</w:t>
      </w:r>
      <w:r>
        <w:rPr>
          <w:rFonts w:ascii="Times New Roman" w:hAnsi="Times New Roman"/>
          <w:b w:val="0"/>
          <w:i w:val="0"/>
          <w:sz w:val="22"/>
        </w:rPr>
        <w:t xml:space="preserve">, sin resumen y sin términos MeSH, de modo que el cribado no dispuso de nada con lo que descartarlos. Se contaron </w:t>
      </w:r>
      <w:r>
        <w:rPr>
          <w:rFonts w:ascii="Times New Roman" w:hAnsi="Times New Roman"/>
          <w:b w:val="0"/>
          <w:i/>
          <w:sz w:val="22"/>
        </w:rPr>
        <w:t>29 fichas</w:t>
      </w:r>
      <w:r>
        <w:rPr>
          <w:rFonts w:ascii="Times New Roman" w:hAnsi="Times New Roman"/>
          <w:b w:val="0"/>
          <w:i w:val="0"/>
          <w:sz w:val="22"/>
        </w:rPr>
        <w:t xml:space="preserve"> en esa situación, se descargó la ficha completa de cada una de ClinicalTrials.gov y del registro europeo CTIS, y se leyeron una por una. </w:t>
      </w:r>
      <w:r>
        <w:rPr>
          <w:rFonts w:ascii="Times New Roman" w:hAnsi="Times New Roman"/>
          <w:b w:val="0"/>
          <w:i/>
          <w:sz w:val="22"/>
        </w:rPr>
        <w:t>12</w:t>
      </w:r>
      <w:r>
        <w:rPr>
          <w:rFonts w:ascii="Times New Roman" w:hAnsi="Times New Roman"/>
          <w:b w:val="0"/>
          <w:i w:val="0"/>
          <w:sz w:val="22"/>
        </w:rPr>
        <w:t xml:space="preserve"> nombran a </w:t>
      </w:r>
      <w:r>
        <w:rPr>
          <w:rFonts w:ascii="Times New Roman" w:hAnsi="Times New Roman"/>
          <w:b w:val="0"/>
          <w:i/>
          <w:sz w:val="22"/>
        </w:rPr>
        <w:t>P. aeruginosa</w:t>
      </w:r>
      <w:r>
        <w:rPr>
          <w:rFonts w:ascii="Times New Roman" w:hAnsi="Times New Roman"/>
          <w:b w:val="0"/>
          <w:i w:val="0"/>
          <w:sz w:val="22"/>
        </w:rPr>
        <w:t xml:space="preserve"> entre los organismos de la población que van a tratar y se quedan. </w:t>
      </w:r>
      <w:r>
        <w:rPr>
          <w:rFonts w:ascii="Times New Roman" w:hAnsi="Times New Roman"/>
          <w:b w:val="0"/>
          <w:i/>
          <w:sz w:val="22"/>
        </w:rPr>
        <w:t>8</w:t>
      </w:r>
      <w:r>
        <w:rPr>
          <w:rFonts w:ascii="Times New Roman" w:hAnsi="Times New Roman"/>
          <w:b w:val="0"/>
          <w:i w:val="0"/>
          <w:sz w:val="22"/>
        </w:rPr>
        <w:t xml:space="preserve"> declaran otro organismo en sus criterios de elegibilidad —</w:t>
      </w:r>
      <w:r>
        <w:rPr>
          <w:rFonts w:ascii="Times New Roman" w:hAnsi="Times New Roman"/>
          <w:b w:val="0"/>
          <w:i/>
          <w:sz w:val="22"/>
        </w:rPr>
        <w:t>S. aureus</w:t>
      </w:r>
      <w:r>
        <w:rPr>
          <w:rFonts w:ascii="Times New Roman" w:hAnsi="Times New Roman"/>
          <w:b w:val="0"/>
          <w:i w:val="0"/>
          <w:sz w:val="22"/>
        </w:rPr>
        <w:t xml:space="preserve">, </w:t>
      </w:r>
      <w:r>
        <w:rPr>
          <w:rFonts w:ascii="Times New Roman" w:hAnsi="Times New Roman"/>
          <w:b w:val="0"/>
          <w:i/>
          <w:sz w:val="22"/>
        </w:rPr>
        <w:t>S. epidermidis</w:t>
      </w:r>
      <w:r>
        <w:rPr>
          <w:rFonts w:ascii="Times New Roman" w:hAnsi="Times New Roman"/>
          <w:b w:val="0"/>
          <w:i w:val="0"/>
          <w:sz w:val="22"/>
        </w:rPr>
        <w:t xml:space="preserve">, </w:t>
      </w:r>
      <w:r>
        <w:rPr>
          <w:rFonts w:ascii="Times New Roman" w:hAnsi="Times New Roman"/>
          <w:b w:val="0"/>
          <w:i/>
          <w:sz w:val="22"/>
        </w:rPr>
        <w:t>E. coli</w:t>
      </w:r>
      <w:r>
        <w:rPr>
          <w:rFonts w:ascii="Times New Roman" w:hAnsi="Times New Roman"/>
          <w:b w:val="0"/>
          <w:i w:val="0"/>
          <w:sz w:val="22"/>
        </w:rP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rFonts w:ascii="Times New Roman" w:hAnsi="Times New Roman"/>
          <w:b w:val="0"/>
          <w:i/>
          <w:sz w:val="22"/>
        </w:rPr>
        <w:t>E. coli</w:t>
      </w:r>
      <w:r>
        <w:rPr>
          <w:rFonts w:ascii="Times New Roman" w:hAnsi="Times New Roman"/>
          <w:b w:val="0"/>
          <w:i w:val="0"/>
          <w:sz w:val="22"/>
        </w:rPr>
        <w:t xml:space="preserve"> en niños con diarrea, cuyo título indexado —«Antibacterial Treatment Against Diarrhea in Oral Rehydration Solution»— no permite saberlo.</w:t>
      </w:r>
    </w:p>
    <w:p>
      <w:pPr>
        <w:jc w:val="both"/>
      </w:pPr>
      <w:r>
        <w:rPr>
          <w:rFonts w:ascii="Times New Roman" w:hAnsi="Times New Roman"/>
          <w:b w:val="0"/>
          <w:i w:val="0"/>
          <w:sz w:val="22"/>
        </w:rPr>
        <w:t xml:space="preserve">Los </w:t>
      </w:r>
      <w:r>
        <w:rPr>
          <w:rFonts w:ascii="Times New Roman" w:hAnsi="Times New Roman"/>
          <w:b w:val="0"/>
          <w:i/>
          <w:sz w:val="22"/>
        </w:rPr>
        <w:t>7 restantes</w:t>
      </w:r>
      <w:r>
        <w:rPr>
          <w:rFonts w:ascii="Times New Roman" w:hAnsi="Times New Roman"/>
          <w:b w:val="0"/>
          <w:i w:val="0"/>
          <w:sz w:val="22"/>
        </w:rPr>
        <w:t xml:space="preserve"> no declaran bacteria alguna: su ficha no permite verificar el criterio ni a favor ni en contra. Excluirlos obligó a una enmienda del protocolo, porque ningún código del vocabulario decía eso. </w:t>
      </w:r>
      <w:r>
        <w:rPr>
          <w:rFonts w:ascii="Times New Roman" w:hAnsi="Times New Roman"/>
          <w:b w:val="0"/>
          <w:i/>
          <w:sz w:val="22"/>
        </w:rPr>
        <w:t>NOORG</w:t>
      </w:r>
      <w:r>
        <w:rPr>
          <w:rFonts w:ascii="Times New Roman" w:hAnsi="Times New Roman"/>
          <w:b w:val="0"/>
          <w:i w:val="0"/>
          <w:sz w:val="22"/>
        </w:rP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pPr>
        <w:jc w:val="both"/>
      </w:pPr>
      <w:r>
        <w:rPr>
          <w:rFonts w:ascii="Times New Roman" w:hAnsi="Times New Roman"/>
          <w:b w:val="0"/>
          <w:i w:val="0"/>
          <w:sz w:val="22"/>
        </w:rPr>
        <w:t xml:space="preserve">Al leerlas apareció además un </w:t>
      </w:r>
      <w:r>
        <w:rPr>
          <w:rFonts w:ascii="Times New Roman" w:hAnsi="Times New Roman"/>
          <w:b w:val="0"/>
          <w:i/>
          <w:sz w:val="22"/>
        </w:rPr>
        <w:t>duplicado</w:t>
      </w:r>
      <w:r>
        <w:rPr>
          <w:rFonts w:ascii="Times New Roman" w:hAnsi="Times New Roman"/>
          <w:b w:val="0"/>
          <w:i w:val="0"/>
          <w:sz w:val="22"/>
        </w:rPr>
        <w:t>: el ensayo Phage4Cure-001 está en CTIS con dos identificadores, uno por versión del protocolo, y había entrado como dos estudios porque sus títulos difieren en dos palabras. Es un solo ensayo, comprobado y firmado, y se cuenta una sola vez.</w:t>
      </w:r>
    </w:p>
    <w:p>
      <w:pPr>
        <w:jc w:val="both"/>
      </w:pPr>
      <w:r>
        <w:rPr>
          <w:rFonts w:ascii="Times New Roman" w:hAnsi="Times New Roman"/>
          <w:b w:val="0"/>
          <w:i w:val="0"/>
          <w:sz w:val="22"/>
        </w:rPr>
        <w:t xml:space="preserve">De los 137 estudios, </w:t>
      </w:r>
      <w:r>
        <w:rPr>
          <w:rFonts w:ascii="Times New Roman" w:hAnsi="Times New Roman"/>
          <w:b w:val="0"/>
          <w:i/>
          <w:sz w:val="22"/>
        </w:rPr>
        <w:t>95 tienen publicación recuperable</w:t>
      </w:r>
      <w:r>
        <w:rPr>
          <w:rFonts w:ascii="Times New Roman" w:hAnsi="Times New Roman"/>
          <w:b w:val="0"/>
          <w:i w:val="0"/>
          <w:sz w:val="22"/>
        </w:rPr>
        <w:t xml:space="preserve">: 92 artículos y 3 que solo existen como resumen de congreso. Los </w:t>
      </w:r>
      <w:r>
        <w:rPr>
          <w:rFonts w:ascii="Times New Roman" w:hAnsi="Times New Roman"/>
          <w:b w:val="0"/>
          <w:i/>
          <w:sz w:val="22"/>
        </w:rPr>
        <w:t>42 restantes son únicamente fichas de registro de ensayo</w:t>
      </w:r>
      <w:r>
        <w:rPr>
          <w:rFonts w:ascii="Times New Roman" w:hAnsi="Times New Roman"/>
          <w:b w:val="0"/>
          <w:i w:val="0"/>
          <w:sz w:val="22"/>
        </w:rPr>
        <w:t>, sin publicación asociada localizable. Esa cifra basta por sí sola para describir un campo en el que más de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val="0"/>
          <w:i/>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Se obtuvo el texto completo de </w:t>
      </w:r>
      <w:r>
        <w:rPr>
          <w:rFonts w:ascii="Times New Roman" w:hAnsi="Times New Roman"/>
          <w:b w:val="0"/>
          <w:i/>
          <w:sz w:val="22"/>
        </w:rPr>
        <w:t>71 de los 95 estudios recuperables (74,7 %)</w:t>
      </w:r>
      <w:r>
        <w:rPr>
          <w:rFonts w:ascii="Times New Roman" w:hAnsi="Times New Roman"/>
          <w:b w:val="0"/>
          <w:i w:val="0"/>
          <w:sz w:val="22"/>
        </w:rPr>
        <w:t xml:space="preserve"> por vías de acceso abierto legítimas. Los 24 restantes siguen sin obtenerse. Su disponibilidad se recomprobó el 2 de septiembre de 2026 contra tres índices independientes —Europe PMC, OpenAlex y Semantic Scholar—, y </w:t>
      </w:r>
      <w:r>
        <w:rPr>
          <w:rFonts w:ascii="Times New Roman" w:hAnsi="Times New Roman"/>
          <w:b w:val="0"/>
          <w:i/>
          <w:sz w:val="22"/>
        </w:rPr>
        <w:t>ninguno de los 24 tiene hoy una copia de acceso abierto</w:t>
      </w:r>
      <w:r>
        <w:rPr>
          <w:rFonts w:ascii="Times New Roman" w:hAnsi="Times New Roman"/>
          <w:b w:val="0"/>
          <w:i w:val="0"/>
          <w:sz w:val="22"/>
        </w:rPr>
        <w:t>. No se solicitaron por préstamo interbibliotecario ni a los autores: el hueco documental que esta revisión declara no está mitigado por ninguna vía adicional, y esa es la razón por la que se reporta como límite y no como pendiente.</w:t>
      </w:r>
    </w:p>
    <w:p>
      <w:pPr>
        <w:jc w:val="both"/>
      </w:pPr>
      <w:r>
        <w:rPr>
          <w:rFonts w:ascii="Times New Roman" w:hAnsi="Times New Roman"/>
          <w:b w:val="0"/>
          <w:i w:val="0"/>
          <w:sz w:val="22"/>
        </w:rPr>
        <w:t xml:space="preserve">La fracción no obtenida </w:t>
      </w:r>
      <w:r>
        <w:rPr>
          <w:rFonts w:ascii="Times New Roman" w:hAnsi="Times New Roman"/>
          <w:b w:val="0"/>
          <w:i/>
          <w:sz w:val="22"/>
        </w:rPr>
        <w:t>no es una muestra aleatoria del conjunto</w:t>
      </w:r>
      <w:r>
        <w:rPr>
          <w:rFonts w:ascii="Times New Roman" w:hAnsi="Times New Roman"/>
          <w:b w:val="0"/>
          <w:i w:val="0"/>
          <w:sz w:val="22"/>
        </w:rPr>
        <w:t xml:space="preserve"> (Tabla 3). Contiene 6 de los 11 estudios comparativos, el </w:t>
      </w:r>
      <w:r>
        <w:rPr>
          <w:rFonts w:ascii="Times New Roman" w:hAnsi="Times New Roman"/>
          <w:b w:val="0"/>
          <w:i/>
          <w:sz w:val="22"/>
        </w:rPr>
        <w:t>54,5 %</w:t>
      </w:r>
      <w:r>
        <w:rPr>
          <w:rFonts w:ascii="Times New Roman" w:hAnsi="Times New Roman"/>
          <w:b w:val="0"/>
          <w:i w:val="0"/>
          <w:sz w:val="22"/>
        </w:rPr>
        <w:t>, y, aunque declara menos pacientes en total, concentra los diseños que sostienen una comparación. De los siete ensayos aleatorizados del corpus se leyeron tres a texto completo —PhagoBurn (17), BX004-A (18) y un ensayo de 2026 en unidad de cuidados intensivos—, y cuatro siguen sin leerse, entre ellos el de TP-102 (19). La fracción que falta contiene, por tanto, la mayoría de los ensayos aleatorizados identificados.</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95 estudios recuperables se publicaron entre </w:t>
      </w:r>
      <w:r>
        <w:rPr>
          <w:rFonts w:ascii="Times New Roman" w:hAnsi="Times New Roman"/>
          <w:b w:val="0"/>
          <w:i/>
          <w:sz w:val="22"/>
        </w:rPr>
        <w:t>2016 y 2026</w:t>
      </w:r>
      <w:r>
        <w:rPr>
          <w:rFonts w:ascii="Times New Roman" w:hAnsi="Times New Roman"/>
          <w:b w:val="0"/>
          <w:i w:val="0"/>
          <w:sz w:val="22"/>
        </w:rPr>
        <w:t xml:space="preserve">, y el </w:t>
      </w:r>
      <w:r>
        <w:rPr>
          <w:rFonts w:ascii="Times New Roman" w:hAnsi="Times New Roman"/>
          <w:b w:val="0"/>
          <w:i/>
          <w:sz w:val="22"/>
        </w:rPr>
        <w:t>80,0 %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val="0"/>
          <w:i/>
          <w:sz w:val="22"/>
        </w:rPr>
        <w:t>42 reportes de caso único (44,2 %)</w:t>
      </w:r>
      <w:r>
        <w:rPr>
          <w:rFonts w:ascii="Times New Roman" w:hAnsi="Times New Roman"/>
          <w:b w:val="0"/>
          <w:i w:val="0"/>
          <w:sz w:val="22"/>
        </w:rPr>
        <w:t xml:space="preserve">, 18 series de casos, 13 cohortes prospectivas, 7 ensayos aleatorizados, 4 ensayos no aleatorizados y 3 cohortes retrospectivas. Otros 8 no declaran su diseño de forma reconocible en el resumen. Los comparativos suman </w:t>
      </w:r>
      <w:r>
        <w:rPr>
          <w:rFonts w:ascii="Times New Roman" w:hAnsi="Times New Roman"/>
          <w:b w:val="0"/>
          <w:i/>
          <w:sz w:val="22"/>
        </w:rPr>
        <w:t>11 estudios, el 11,6 %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clase de resistencia</w:t>
      </w:r>
      <w:r>
        <w:rPr>
          <w:rFonts w:ascii="Times New Roman" w:hAnsi="Times New Roman"/>
          <w:b w:val="0"/>
          <w:i w:val="0"/>
          <w:sz w:val="22"/>
        </w:rPr>
        <w:t xml:space="preserve"> (MDR, XDR o PDR) no puede asignarse en el </w:t>
      </w:r>
      <w:r>
        <w:rPr>
          <w:rFonts w:ascii="Times New Roman" w:hAnsi="Times New Roman"/>
          <w:b w:val="0"/>
          <w:i/>
          <w:sz w:val="22"/>
        </w:rPr>
        <w:t>75,8 %</w:t>
      </w:r>
      <w:r>
        <w:rPr>
          <w:rFonts w:ascii="Times New Roman" w:hAnsi="Times New Roman"/>
          <w:b w:val="0"/>
          <w:i w:val="0"/>
          <w:sz w:val="22"/>
        </w:rP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vía de administración</w:t>
      </w:r>
      <w:r>
        <w:rPr>
          <w:rFonts w:ascii="Times New Roman" w:hAnsi="Times New Roman"/>
          <w:b w:val="0"/>
          <w:i w:val="0"/>
          <w:sz w:val="22"/>
        </w:rPr>
        <w:t xml:space="preserve"> no consta en el </w:t>
      </w:r>
      <w:r>
        <w:rPr>
          <w:rFonts w:ascii="Times New Roman" w:hAnsi="Times New Roman"/>
          <w:b w:val="0"/>
          <w:i/>
          <w:sz w:val="22"/>
        </w:rPr>
        <w:t>52,6 %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val="0"/>
          <w:i/>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val="0"/>
          <w:i/>
          <w:sz w:val="22"/>
        </w:rPr>
        <w:t>38,9 %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val="0"/>
          <w:i/>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val="0"/>
          <w:i/>
          <w:sz w:val="22"/>
        </w:rPr>
        <w:t>97,9 %</w:t>
      </w:r>
      <w:r>
        <w:rPr>
          <w:rFonts w:ascii="Times New Roman" w:hAnsi="Times New Roman"/>
          <w:b w:val="0"/>
          <w:i w:val="0"/>
          <w:sz w:val="22"/>
        </w:rPr>
        <w:t>.</w:t>
      </w:r>
    </w:p>
    <w:p>
      <w:pPr>
        <w:jc w:val="both"/>
      </w:pPr>
      <w:r>
        <w:rPr>
          <w:rFonts w:ascii="Times New Roman" w:hAnsi="Times New Roman"/>
          <w:b w:val="0"/>
          <w:i w:val="0"/>
          <w:sz w:val="22"/>
        </w:rP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103 brazos del corpus vigente.</w:t>
      </w:r>
    </w:p>
    <w:p>
      <w:pPr>
        <w:jc w:val="both"/>
      </w:pPr>
      <w:r>
        <w:rPr>
          <w:rFonts w:ascii="Times New Roman" w:hAnsi="Times New Roman"/>
          <w:b w:val="0"/>
          <w:i w:val="0"/>
          <w:sz w:val="22"/>
        </w:rPr>
        <w:t>La completitud es desigual y, en el mejor de los casos, parcial. Los eventos adversos son lo que más se reporta con denominador (78,6 %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78,6 % al 89,9 %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pPr>
        <w:jc w:val="both"/>
      </w:pPr>
      <w:r>
        <w:rPr>
          <w:rFonts w:ascii="Times New Roman" w:hAnsi="Times New Roman"/>
          <w:b w:val="0"/>
          <w:i w:val="0"/>
          <w:sz w:val="22"/>
        </w:rPr>
        <w:t xml:space="preserve">Ese 68,9 % es, sin embargo, engañoso si se lee como disponibilidad para agregar. </w:t>
      </w:r>
      <w:r>
        <w:rPr>
          <w:rFonts w:ascii="Times New Roman" w:hAnsi="Times New Roman"/>
          <w:b w:val="0"/>
          <w:i/>
          <w:sz w:val="22"/>
        </w:rPr>
        <w:t>En 69 de los 103 brazos (67,0 %) no consta una definición operativa de éxito clínico</w:t>
      </w:r>
      <w:r>
        <w:rPr>
          <w:rFonts w:ascii="Times New Roman" w:hAnsi="Times New Roman"/>
          <w:b w:val="0"/>
          <w:i w:val="0"/>
          <w:sz w:val="22"/>
        </w:rP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pPr>
        <w:jc w:val="both"/>
      </w:pPr>
      <w:r>
        <w:rPr>
          <w:rFonts w:ascii="Times New Roman" w:hAnsi="Times New Roman"/>
          <w:b w:val="0"/>
          <w:i w:val="0"/>
          <w:sz w:val="22"/>
        </w:rPr>
        <w:t xml:space="preserve">El diseño tampoco consta siempre: en 12 de los 103 brazos no puede clasificarse —12 en que los dos revisores acordaron «NA» y 7 que siguen abiertos—, de modo que los recuentos por diseño son suelos sobre los 84 restantes. De esos 91, </w:t>
      </w:r>
      <w:r>
        <w:rPr>
          <w:rFonts w:ascii="Times New Roman" w:hAnsi="Times New Roman"/>
          <w:b w:val="0"/>
          <w:i/>
          <w:sz w:val="22"/>
        </w:rPr>
        <w:t>8 brazos son ensayos</w:t>
      </w:r>
      <w:r>
        <w:rPr>
          <w:rFonts w:ascii="Times New Roman" w:hAnsi="Times New Roman"/>
          <w:b w:val="0"/>
          <w:i w:val="0"/>
          <w:sz w:val="22"/>
        </w:rPr>
        <w:t xml:space="preserve"> (aleatorizados o no) y </w:t>
      </w:r>
      <w:r>
        <w:rPr>
          <w:rFonts w:ascii="Times New Roman" w:hAnsi="Times New Roman"/>
          <w:b w:val="0"/>
          <w:i/>
          <w:sz w:val="22"/>
        </w:rPr>
        <w:t>10 son cohortes</w:t>
      </w:r>
      <w:r>
        <w:rPr>
          <w:rFonts w:ascii="Times New Roman" w:hAnsi="Times New Roman"/>
          <w:b w:val="0"/>
          <w:i w:val="0"/>
          <w:sz w:val="22"/>
        </w:rPr>
        <w:t>. La sección 3.3 y la tabla 1 llaman «comparativos» solo a los ensayos, y por eso allí la cifra es 11 estudios: cuando en esta sección se dice «comparativo» se incluyen también las cohortes, y son 18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val="0"/>
          <w:i/>
          <w:sz w:val="22"/>
        </w:rPr>
        <w:t>2 brazos de los 103</w:t>
      </w:r>
      <w:r>
        <w:rPr>
          <w:rFonts w:ascii="Times New Roman" w:hAnsi="Times New Roman"/>
          <w:b w:val="0"/>
          <w:i w:val="0"/>
          <w:sz w:val="22"/>
        </w:rPr>
        <w:t>. Los dos siguientes son los criterios de elegibilidad que esta misma revisión declara en la sección 2.2, y ninguno de esos 3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rFonts w:ascii="Times New Roman" w:hAnsi="Times New Roman"/>
          <w:b w:val="0"/>
          <w:i/>
          <w:sz w:val="22"/>
        </w:rPr>
        <w:t>prevención</w:t>
      </w:r>
      <w:r>
        <w:rPr>
          <w:rFonts w:ascii="Times New Roman" w:hAnsi="Times New Roman"/>
          <w:b w:val="0"/>
          <w:i w:val="0"/>
          <w:sz w:val="22"/>
        </w:rPr>
        <w:t xml:space="preserve"> de neumonía asociada a ventilación, y su desenlace —ausencia de neumonía incidente— no mide lo mismo que la curación de una infección establecida. Queda 1.</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val="0"/>
          <w:i/>
          <w:sz w:val="22"/>
        </w:rPr>
        <w:t>No queda ninguno.</w:t>
      </w:r>
    </w:p>
    <w:p>
      <w:pPr>
        <w:jc w:val="both"/>
      </w:pPr>
      <w:r>
        <w:rPr>
          <w:rFonts w:ascii="Times New Roman" w:hAnsi="Times New Roman"/>
          <w:b w:val="0"/>
          <w:i w:val="0"/>
          <w:sz w:val="22"/>
        </w:rPr>
        <w:t xml:space="preserve">Dicho de otro modo: de los 103 brazos de esta literatura, </w:t>
      </w:r>
      <w:r>
        <w:rPr>
          <w:rFonts w:ascii="Times New Roman" w:hAnsi="Times New Roman"/>
          <w:b w:val="0"/>
          <w:i/>
          <w:sz w:val="22"/>
        </w:rPr>
        <w:t>ninguno reúne a la vez las condiciones aritméticas y los criterios de elegibilidad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val="0"/>
          <w:i/>
          <w:sz w:val="22"/>
        </w:rPr>
        <w:t>Denominadores.</w:t>
      </w:r>
      <w:r>
        <w:rPr>
          <w:rFonts w:ascii="Times New Roman" w:hAnsi="Times New Roman"/>
          <w:b w:val="0"/>
          <w:i w:val="0"/>
          <w:sz w:val="22"/>
        </w:rP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pPr>
        <w:jc w:val="both"/>
      </w:pPr>
      <w:r>
        <w:rPr>
          <w:rFonts w:ascii="Times New Roman" w:hAnsi="Times New Roman"/>
          <w:b w:val="0"/>
          <w:i/>
          <w:sz w:val="22"/>
        </w:rPr>
        <w:t>Desenlace.</w:t>
      </w:r>
      <w:r>
        <w:rPr>
          <w:rFonts w:ascii="Times New Roman" w:hAnsi="Times New Roman"/>
          <w:b w:val="0"/>
          <w:i w:val="0"/>
          <w:sz w:val="22"/>
        </w:rP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val="0"/>
          <w:i/>
          <w:sz w:val="22"/>
        </w:rPr>
        <w:t>Dos de los ensayos aleatorizados de referencia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ya recuperados, no de la pre-extracción desde resúmenes: </w:t>
      </w:r>
      <w:r>
        <w:rPr>
          <w:rFonts w:ascii="Times New Roman" w:hAnsi="Times New Roman"/>
          <w:b w:val="0"/>
          <w:i/>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val="0"/>
          <w:i/>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sesgo de recuperación documentado en la sección 3.2, que en el estado actual excluiría de la síntesis a dos tercios de los estudios comparativos. </w:t>
      </w:r>
      <w:r>
        <w:rPr>
          <w:rFonts w:ascii="Times New Roman" w:hAnsi="Times New Roman"/>
          <w:b w:val="0"/>
          <w:i/>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3 estudios evaluados con RoB 2, el juicio global es de bajo riesgo en 2 y de algunas preocupaciones en 1. De los 8 estudios evaluados con ROBINS-I, el juicio global es de riesgo moderado en 2 y de riesgo grave en 6. El dominio que más juicios desfavorables concentra en ROBINS-I —alto riesgo en RoB 2; grave o crítico en ROBINS-I— es «sesgo por confusión», con 6 de 8. Los 82 juicios se emitieron en una evaluación única acordada entre los dos autores; al no haber dos lecturas independientes, no se reporta concordancia entre revisores.</w:t>
      </w:r>
    </w:p>
    <w:p>
      <w:pPr>
        <w:spacing w:before="240" w:after="100" w:line="240" w:lineRule="auto"/>
      </w:pPr>
      <w:r>
        <w:rPr>
          <w:rFonts w:ascii="Times New Roman" w:hAnsi="Times New Roman"/>
          <w:b w:val="0"/>
          <w:i/>
          <w:sz w:val="18"/>
        </w:rPr>
        <w:t>Tabla 7.</w:t>
      </w:r>
      <w:r>
        <w:rPr>
          <w:rFonts w:ascii="Times New Roman" w:hAnsi="Times New Roman"/>
          <w:b w:val="0"/>
          <w:i w:val="0"/>
          <w:sz w:val="18"/>
        </w:rPr>
        <w:t xml:space="preserve"> Riesgo de sesgo por dominio de los 11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EST-132</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EST-055</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EST-063</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ocho fuentes, sin restricción de idioma, con literatura regional y registros de ensayos incluidos. El resultado son 137 estudios frente a las decenas que manejan las revisiones publicadas, y habrían sido 218 sin la restricción de idioma que se adoptó al final y sin los 46 que salieron después. Ese aumento no habla bien de la madurez del campo. La mayor parte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val="0"/>
          <w:i/>
          <w:sz w:val="22"/>
        </w:rPr>
        <w:t>la amplitud del cuerpo de evidencia no se traduce en capacidad de síntesis</w:t>
      </w:r>
      <w:r>
        <w:rPr>
          <w:rFonts w:ascii="Times New Roman" w:hAnsi="Times New Roman"/>
          <w:b w:val="0"/>
          <w:i w:val="0"/>
          <w:sz w:val="22"/>
        </w:rP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spacing w:before="200" w:after="100"/>
      </w:pPr>
      <w:r>
        <w:rPr>
          <w:rFonts w:ascii="Times New Roman" w:hAnsi="Times New Roman"/>
          <w:b/>
          <w:i w:val="0"/>
          <w:sz w:val="22"/>
        </w:rPr>
        <w:t>4.3 Implicaciones</w:t>
      </w:r>
    </w:p>
    <w:p>
      <w:pPr>
        <w:jc w:val="both"/>
      </w:pPr>
      <w:r>
        <w:rPr>
          <w:rFonts w:ascii="Times New Roman" w:hAnsi="Times New Roman"/>
          <w:b w:val="0"/>
          <w:i/>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val="0"/>
          <w:i/>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val="0"/>
          <w:i/>
          <w:sz w:val="22"/>
        </w:rPr>
        <w:t>Para los registros.</w:t>
      </w:r>
      <w:r>
        <w:rPr>
          <w:rFonts w:ascii="Times New Roman" w:hAnsi="Times New Roman"/>
          <w:b w:val="0"/>
          <w:i w:val="0"/>
          <w:sz w:val="22"/>
        </w:rPr>
        <w:t xml:space="preserve"> Que 42 de 137 estudios sean fichas de registro sin publicación localizable es un problema de sesgo de publicación de primer orden, y no se resuelve con métodos estadísticos.</w:t>
      </w:r>
    </w:p>
    <w:p>
      <w:pPr>
        <w:spacing w:before="200" w:after="100"/>
      </w:pPr>
      <w:r>
        <w:rPr>
          <w:rFonts w:ascii="Times New Roman" w:hAnsi="Times New Roman"/>
          <w:b/>
          <w:i w:val="0"/>
          <w:sz w:val="22"/>
        </w:rPr>
        <w:t>4.4 Fortalezas y limitaciones</w:t>
      </w:r>
    </w:p>
    <w:p>
      <w:pPr>
        <w:jc w:val="both"/>
      </w:pPr>
      <w:r>
        <w:rPr>
          <w:rFonts w:ascii="Times New Roman" w:hAnsi="Times New Roman"/>
          <w:b w:val="0"/>
          <w:i/>
          <w:sz w:val="22"/>
        </w:rPr>
        <w:t>Fortalezas.</w:t>
      </w:r>
      <w:r>
        <w:rPr>
          <w:rFonts w:ascii="Times New Roman" w:hAnsi="Times New Roman"/>
          <w:b w:val="0"/>
          <w:i w:val="0"/>
          <w:sz w:val="22"/>
        </w:rP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pPr>
        <w:jc w:val="both"/>
      </w:pPr>
      <w:r>
        <w:rPr>
          <w:rFonts w:ascii="Times New Roman" w:hAnsi="Times New Roman"/>
          <w:b w:val="0"/>
          <w:i/>
          <w:sz w:val="22"/>
        </w:rPr>
        <w:t>Limitaciones.</w:t>
      </w:r>
      <w:r>
        <w:rPr>
          <w:rFonts w:ascii="Times New Roman" w:hAnsi="Times New Roman"/>
          <w:b w:val="0"/>
          <w:i w:val="0"/>
          <w:sz w:val="22"/>
        </w:rPr>
        <w:t xml:space="preserve"> Son seis y todas materiales. </w:t>
      </w:r>
      <w:r>
        <w:rPr>
          <w:rFonts w:ascii="Times New Roman" w:hAnsi="Times New Roman"/>
          <w:b w:val="0"/>
          <w:i/>
          <w:sz w:val="22"/>
        </w:rPr>
        <w:t>Primera:</w:t>
      </w:r>
      <w:r>
        <w:rPr>
          <w:rFonts w:ascii="Times New Roman" w:hAnsi="Times New Roman"/>
          <w:b w:val="0"/>
          <w:i w:val="0"/>
          <w:sz w:val="22"/>
        </w:rP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rFonts w:ascii="Times New Roman" w:hAnsi="Times New Roman"/>
          <w:b w:val="0"/>
          <w:i/>
          <w:sz w:val="22"/>
        </w:rPr>
        <w:t>Segunda: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val="0"/>
          <w:i/>
          <w:sz w:val="22"/>
        </w:rPr>
        <w:t>Tercera: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val="0"/>
          <w:i/>
          <w:sz w:val="22"/>
        </w:rPr>
        <w:t>Cuarta: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rFonts w:ascii="Times New Roman" w:hAnsi="Times New Roman"/>
          <w:b w:val="0"/>
          <w:i/>
          <w:sz w:val="22"/>
        </w:rPr>
        <w:t>Quinta:</w:t>
      </w:r>
      <w:r>
        <w:rPr>
          <w:rFonts w:ascii="Times New Roman" w:hAnsi="Times New Roman"/>
          <w:b w:val="0"/>
          <w:i w:val="0"/>
          <w:sz w:val="22"/>
        </w:rPr>
        <w:t xml:space="preserve"> el texto completo se obtuvo para el 74,7 % de los estudios recuperables, y la fracción faltante está enriquecida en diseños comparativos, de manera que lo descrito subrepresenta la parte comparativa del campo. </w:t>
      </w:r>
      <w:r>
        <w:rPr>
          <w:rFonts w:ascii="Times New Roman" w:hAnsi="Times New Roman"/>
          <w:b w:val="0"/>
          <w:i/>
          <w:sz w:val="22"/>
        </w:rPr>
        <w:t>Sexta:</w:t>
      </w:r>
      <w:r>
        <w:rPr>
          <w:rFonts w:ascii="Times New Roman" w:hAnsi="Times New Roman"/>
          <w:b w:val="0"/>
          <w:i w:val="0"/>
          <w:sz w:val="22"/>
        </w:rP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val="0"/>
          <w:i/>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val="0"/>
          <w:i/>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val="0"/>
          <w:i/>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val="0"/>
          <w:i/>
          <w:sz w:val="22"/>
        </w:rPr>
        <w:t>Contribución de los autores (CRediT).</w:t>
      </w:r>
      <w:r>
        <w:rPr>
          <w:rFonts w:ascii="Times New Roman" w:hAnsi="Times New Roman"/>
          <w:b w:val="0"/>
          <w:i w:val="0"/>
          <w:sz w:val="22"/>
        </w:rPr>
        <w:t xml:space="preserve"> </w:t>
      </w:r>
      <w:r>
        <w:rPr>
          <w:rFonts w:ascii="Times New Roman" w:hAnsi="Times New Roman"/>
          <w:b w:val="0"/>
          <w:i/>
          <w:sz w:val="22"/>
        </w:rPr>
        <w:t>D. Valdiviezo:</w:t>
      </w:r>
      <w:r>
        <w:rPr>
          <w:rFonts w:ascii="Times New Roman" w:hAnsi="Times New Roman"/>
          <w:b w:val="0"/>
          <w:i w:val="0"/>
          <w:sz w:val="22"/>
        </w:rP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rFonts w:ascii="Times New Roman" w:hAnsi="Times New Roman"/>
          <w:b w:val="0"/>
          <w:i/>
          <w:sz w:val="22"/>
        </w:rPr>
        <w:t>N. Trelles:</w:t>
      </w:r>
      <w:r>
        <w:rPr>
          <w:rFonts w:ascii="Times New Roman" w:hAnsi="Times New Roman"/>
          <w:b w:val="0"/>
          <w:i w:val="0"/>
          <w:sz w:val="22"/>
        </w:rPr>
        <w:t xml:space="preserve"> metodología (definiciones de desenlace), investigación, extracción de datos independiente (122 de los 124 estudios), validación, revisión y edición del manuscrito.</w:t>
      </w:r>
    </w:p>
    <w:p>
      <w:pPr>
        <w:jc w:val="both"/>
      </w:pPr>
      <w:r>
        <w:rPr>
          <w:rFonts w:ascii="Times New Roman" w:hAnsi="Times New Roman"/>
          <w:b w:val="0"/>
          <w:i/>
          <w:sz w:val="22"/>
        </w:rPr>
        <w:t>Disponibilidad de datos y código.</w:t>
      </w:r>
      <w:r>
        <w:rPr>
          <w:rFonts w:ascii="Times New Roman" w:hAnsi="Times New Roman"/>
          <w:b w:val="0"/>
          <w:i w:val="0"/>
          <w:sz w:val="22"/>
        </w:rP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pPr>
        <w:jc w:val="both"/>
      </w:pPr>
      <w:r>
        <w:rPr>
          <w:rFonts w:ascii="Times New Roman" w:hAnsi="Times New Roman"/>
          <w:b w:val="0"/>
          <w:i/>
          <w:sz w:val="22"/>
        </w:rPr>
        <w:t>Uso de inteligencia artificial.</w:t>
      </w:r>
      <w:r>
        <w:rPr>
          <w:rFonts w:ascii="Times New Roman" w:hAnsi="Times New Roman"/>
          <w:b w:val="0"/>
          <w:i w:val="0"/>
          <w:sz w:val="22"/>
        </w:rP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val="0"/>
          <w:i/>
          <w:sz w:val="18"/>
        </w:rPr>
        <w:t>Tabla 1.</w:t>
      </w:r>
      <w:r>
        <w:rPr>
          <w:rFonts w:ascii="Times New Roman" w:hAnsi="Times New Roman"/>
          <w:b w:val="0"/>
          <w:i w:val="0"/>
          <w:sz w:val="18"/>
        </w:rPr>
        <w:t xml:space="preserve"> Características del cuerpo de evidencia recuperable (n = 95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2016–2026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76</w:t>
            </w:r>
          </w:p>
        </w:tc>
        <w:tc>
          <w:tcPr>
            <w:tcW w:type="dxa" w:w="3009"/>
          </w:tcPr>
          <w:p>
            <w:r/>
            <w:r>
              <w:rPr>
                <w:rFonts w:ascii="Times New Roman" w:hAnsi="Times New Roman"/>
                <w:b w:val="0"/>
                <w:i w:val="0"/>
                <w:sz w:val="18"/>
              </w:rPr>
              <w:t>80.0</w:t>
            </w:r>
          </w:p>
        </w:tc>
      </w:tr>
      <w:tr>
        <w:tc>
          <w:tcPr>
            <w:tcW w:type="dxa" w:w="3009"/>
          </w:tcPr>
          <w:p>
            <w:r/>
            <w:r>
              <w:rPr>
                <w:rFonts w:ascii="Times New Roman" w:hAnsi="Times New Roman"/>
                <w:b w:val="0"/>
                <w:i/>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42</w:t>
            </w:r>
          </w:p>
        </w:tc>
        <w:tc>
          <w:tcPr>
            <w:tcW w:type="dxa" w:w="3009"/>
          </w:tcPr>
          <w:p>
            <w:r/>
            <w:r>
              <w:rPr>
                <w:rFonts w:ascii="Times New Roman" w:hAnsi="Times New Roman"/>
                <w:b w:val="0"/>
                <w:i w:val="0"/>
                <w:sz w:val="18"/>
              </w:rPr>
              <w:t>44.2</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18</w:t>
            </w:r>
          </w:p>
        </w:tc>
        <w:tc>
          <w:tcPr>
            <w:tcW w:type="dxa" w:w="3009"/>
          </w:tcPr>
          <w:p>
            <w:r/>
            <w:r>
              <w:rPr>
                <w:rFonts w:ascii="Times New Roman" w:hAnsi="Times New Roman"/>
                <w:b w:val="0"/>
                <w:i w:val="0"/>
                <w:sz w:val="18"/>
              </w:rPr>
              <w:t>18.9</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13</w:t>
            </w:r>
          </w:p>
        </w:tc>
        <w:tc>
          <w:tcPr>
            <w:tcW w:type="dxa" w:w="3009"/>
          </w:tcPr>
          <w:p>
            <w:r/>
            <w:r>
              <w:rPr>
                <w:rFonts w:ascii="Times New Roman" w:hAnsi="Times New Roman"/>
                <w:b w:val="0"/>
                <w:i w:val="0"/>
                <w:sz w:val="18"/>
              </w:rPr>
              <w:t>13.7</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8</w:t>
            </w:r>
          </w:p>
        </w:tc>
        <w:tc>
          <w:tcPr>
            <w:tcW w:type="dxa" w:w="3009"/>
          </w:tcPr>
          <w:p>
            <w:r/>
            <w:r>
              <w:rPr>
                <w:rFonts w:ascii="Times New Roman" w:hAnsi="Times New Roman"/>
                <w:b w:val="0"/>
                <w:i w:val="0"/>
                <w:sz w:val="18"/>
              </w:rPr>
              <w:t>8.4</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Ensayo no aleatorizado</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4.2</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sz w:val="18"/>
              </w:rPr>
              <w:t>Diseños comparativos (total)</w:t>
            </w:r>
          </w:p>
        </w:tc>
        <w:tc>
          <w:tcPr>
            <w:tcW w:type="dxa" w:w="3009"/>
          </w:tcPr>
          <w:p>
            <w:r/>
            <w:r>
              <w:rPr>
                <w:rFonts w:ascii="Times New Roman" w:hAnsi="Times New Roman"/>
                <w:b w:val="0"/>
                <w:i w:val="0"/>
                <w:sz w:val="18"/>
              </w:rPr>
              <w:t>11</w:t>
            </w:r>
          </w:p>
        </w:tc>
        <w:tc>
          <w:tcPr>
            <w:tcW w:type="dxa" w:w="3009"/>
          </w:tcPr>
          <w:p>
            <w:r/>
            <w:r>
              <w:rPr>
                <w:rFonts w:ascii="Times New Roman" w:hAnsi="Times New Roman"/>
                <w:b w:val="0"/>
                <w:i w:val="0"/>
                <w:sz w:val="18"/>
              </w:rPr>
              <w:t>11.6</w:t>
            </w:r>
          </w:p>
        </w:tc>
      </w:tr>
      <w:tr>
        <w:tc>
          <w:tcPr>
            <w:tcW w:type="dxa" w:w="3009"/>
          </w:tcPr>
          <w:p>
            <w:r/>
            <w:r>
              <w:rPr>
                <w:rFonts w:ascii="Times New Roman" w:hAnsi="Times New Roman"/>
                <w:b w:val="0"/>
                <w:i/>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Alemania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Rusia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España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India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Israel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Otros 7 países, un estudio cada uno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58</w:t>
            </w:r>
          </w:p>
        </w:tc>
        <w:tc>
          <w:tcPr>
            <w:tcW w:type="dxa" w:w="3009"/>
          </w:tcPr>
          <w:p>
            <w:r/>
            <w:r>
              <w:rPr>
                <w:rFonts w:ascii="Times New Roman" w:hAnsi="Times New Roman"/>
                <w:b w:val="0"/>
                <w:i w:val="0"/>
                <w:sz w:val="18"/>
              </w:rPr>
              <w:t>61.1</w:t>
            </w:r>
          </w:p>
        </w:tc>
      </w:tr>
    </w:tbl>
    <w:p/>
    <w:p>
      <w:pPr>
        <w:spacing w:before="240" w:after="100" w:line="240" w:lineRule="auto"/>
      </w:pPr>
      <w:r>
        <w:rPr>
          <w:rFonts w:ascii="Times New Roman" w:hAnsi="Times New Roman"/>
          <w:b w:val="0"/>
          <w:i/>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Variable</w:t>
            </w:r>
          </w:p>
        </w:tc>
        <w:tc>
          <w:tcPr>
            <w:tcW w:type="dxa" w:w="1805"/>
          </w:tcPr>
          <w:p>
            <w:r/>
            <w:r>
              <w:rPr>
                <w:rFonts w:ascii="Times New Roman" w:hAnsi="Times New Roman"/>
                <w:b/>
                <w:i w:val="0"/>
                <w:sz w:val="18"/>
              </w:rPr>
              <w:t>Declara (n)</w:t>
            </w:r>
          </w:p>
        </w:tc>
        <w:tc>
          <w:tcPr>
            <w:tcW w:type="dxa" w:w="1805"/>
          </w:tcPr>
          <w:p>
            <w:r/>
            <w:r>
              <w:rPr>
                <w:rFonts w:ascii="Times New Roman" w:hAnsi="Times New Roman"/>
                <w:b/>
                <w:i w:val="0"/>
                <w:sz w:val="18"/>
              </w:rPr>
              <w:t>Declara (%)</w:t>
            </w:r>
          </w:p>
        </w:tc>
        <w:tc>
          <w:tcPr>
            <w:tcW w:type="dxa" w:w="1805"/>
          </w:tcPr>
          <w:p>
            <w:r/>
            <w:r>
              <w:rPr>
                <w:rFonts w:ascii="Times New Roman" w:hAnsi="Times New Roman"/>
                <w:b/>
                <w:i w:val="0"/>
                <w:sz w:val="18"/>
              </w:rPr>
              <w:t>No declara (n)</w:t>
            </w:r>
          </w:p>
        </w:tc>
        <w:tc>
          <w:tcPr>
            <w:tcW w:type="dxa" w:w="1805"/>
          </w:tcPr>
          <w:p>
            <w:r/>
            <w:r>
              <w:rPr>
                <w:rFonts w:ascii="Times New Roman" w:hAnsi="Times New Roman"/>
                <w:b/>
                <w:i w:val="0"/>
                <w:sz w:val="18"/>
              </w:rPr>
              <w:t>No declara (%)</w:t>
            </w:r>
          </w:p>
        </w:tc>
      </w:tr>
      <w:tr>
        <w:tc>
          <w:tcPr>
            <w:tcW w:type="dxa" w:w="1805"/>
          </w:tcPr>
          <w:p>
            <w:r/>
            <w:r>
              <w:rPr>
                <w:rFonts w:ascii="Times New Roman" w:hAnsi="Times New Roman"/>
                <w:b w:val="0"/>
                <w:i w:val="0"/>
                <w:sz w:val="18"/>
              </w:rPr>
              <w:t>Clase de resistencia (MDR/XDR/PDR)</w:t>
            </w:r>
          </w:p>
        </w:tc>
        <w:tc>
          <w:tcPr>
            <w:tcW w:type="dxa" w:w="1805"/>
          </w:tcPr>
          <w:p>
            <w:r/>
            <w:r>
              <w:rPr>
                <w:rFonts w:ascii="Times New Roman" w:hAnsi="Times New Roman"/>
                <w:b w:val="0"/>
                <w:i w:val="0"/>
                <w:sz w:val="18"/>
              </w:rPr>
              <w:t>36</w:t>
            </w:r>
          </w:p>
        </w:tc>
        <w:tc>
          <w:tcPr>
            <w:tcW w:type="dxa" w:w="1805"/>
          </w:tcPr>
          <w:p>
            <w:r/>
            <w:r>
              <w:rPr>
                <w:rFonts w:ascii="Times New Roman" w:hAnsi="Times New Roman"/>
                <w:b w:val="0"/>
                <w:i w:val="0"/>
                <w:sz w:val="18"/>
              </w:rPr>
              <w:t>37.9</w:t>
            </w:r>
          </w:p>
        </w:tc>
        <w:tc>
          <w:tcPr>
            <w:tcW w:type="dxa" w:w="1805"/>
          </w:tcPr>
          <w:p>
            <w:r/>
            <w:r>
              <w:rPr>
                <w:rFonts w:ascii="Times New Roman" w:hAnsi="Times New Roman"/>
                <w:b w:val="0"/>
                <w:i w:val="0"/>
                <w:sz w:val="18"/>
              </w:rPr>
              <w:t>59</w:t>
            </w:r>
          </w:p>
        </w:tc>
        <w:tc>
          <w:tcPr>
            <w:tcW w:type="dxa" w:w="1805"/>
          </w:tcPr>
          <w:p>
            <w:r/>
            <w:r>
              <w:rPr>
                <w:rFonts w:ascii="Times New Roman" w:hAnsi="Times New Roman"/>
                <w:b w:val="0"/>
                <w:i w:val="0"/>
                <w:sz w:val="18"/>
              </w:rPr>
              <w:t>62.1</w:t>
            </w:r>
          </w:p>
        </w:tc>
      </w:tr>
      <w:tr>
        <w:tc>
          <w:tcPr>
            <w:tcW w:type="dxa" w:w="1805"/>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805"/>
          </w:tcPr>
          <w:p>
            <w:r/>
            <w:r>
              <w:rPr>
                <w:rFonts w:ascii="Times New Roman" w:hAnsi="Times New Roman"/>
                <w:b w:val="0"/>
                <w:i w:val="0"/>
                <w:sz w:val="18"/>
              </w:rPr>
              <w:t>58</w:t>
            </w:r>
          </w:p>
        </w:tc>
        <w:tc>
          <w:tcPr>
            <w:tcW w:type="dxa" w:w="1805"/>
          </w:tcPr>
          <w:p>
            <w:r/>
            <w:r>
              <w:rPr>
                <w:rFonts w:ascii="Times New Roman" w:hAnsi="Times New Roman"/>
                <w:b w:val="0"/>
                <w:i w:val="0"/>
                <w:sz w:val="18"/>
              </w:rPr>
              <w:t>61.1</w:t>
            </w:r>
          </w:p>
        </w:tc>
        <w:tc>
          <w:tcPr>
            <w:tcW w:type="dxa" w:w="1805"/>
          </w:tcPr>
          <w:p>
            <w:r/>
            <w:r>
              <w:rPr>
                <w:rFonts w:ascii="Times New Roman" w:hAnsi="Times New Roman"/>
                <w:b w:val="0"/>
                <w:i w:val="0"/>
                <w:sz w:val="18"/>
              </w:rPr>
              <w:t>37</w:t>
            </w:r>
          </w:p>
        </w:tc>
        <w:tc>
          <w:tcPr>
            <w:tcW w:type="dxa" w:w="1805"/>
          </w:tcPr>
          <w:p>
            <w:r/>
            <w:r>
              <w:rPr>
                <w:rFonts w:ascii="Times New Roman" w:hAnsi="Times New Roman"/>
                <w:b w:val="0"/>
                <w:i w:val="0"/>
                <w:sz w:val="18"/>
              </w:rPr>
              <w:t>38.9</w:t>
            </w:r>
          </w:p>
        </w:tc>
      </w:tr>
      <w:tr>
        <w:tc>
          <w:tcPr>
            <w:tcW w:type="dxa" w:w="1805"/>
          </w:tcPr>
          <w:p>
            <w:r/>
            <w:r>
              <w:rPr>
                <w:rFonts w:ascii="Times New Roman" w:hAnsi="Times New Roman"/>
                <w:b w:val="0"/>
                <w:i w:val="0"/>
                <w:sz w:val="18"/>
              </w:rPr>
              <w:t>Vía de administración del fago</w:t>
            </w:r>
          </w:p>
        </w:tc>
        <w:tc>
          <w:tcPr>
            <w:tcW w:type="dxa" w:w="1805"/>
          </w:tcPr>
          <w:p>
            <w:r/>
            <w:r>
              <w:rPr>
                <w:rFonts w:ascii="Times New Roman" w:hAnsi="Times New Roman"/>
                <w:b w:val="0"/>
                <w:i w:val="0"/>
                <w:sz w:val="18"/>
              </w:rPr>
              <w:t>45</w:t>
            </w:r>
          </w:p>
        </w:tc>
        <w:tc>
          <w:tcPr>
            <w:tcW w:type="dxa" w:w="1805"/>
          </w:tcPr>
          <w:p>
            <w:r/>
            <w:r>
              <w:rPr>
                <w:rFonts w:ascii="Times New Roman" w:hAnsi="Times New Roman"/>
                <w:b w:val="0"/>
                <w:i w:val="0"/>
                <w:sz w:val="18"/>
              </w:rPr>
              <w:t>47.4</w:t>
            </w:r>
          </w:p>
        </w:tc>
        <w:tc>
          <w:tcPr>
            <w:tcW w:type="dxa" w:w="1805"/>
          </w:tcPr>
          <w:p>
            <w:r/>
            <w:r>
              <w:rPr>
                <w:rFonts w:ascii="Times New Roman" w:hAnsi="Times New Roman"/>
                <w:b w:val="0"/>
                <w:i w:val="0"/>
                <w:sz w:val="18"/>
              </w:rPr>
              <w:t>50</w:t>
            </w:r>
          </w:p>
        </w:tc>
        <w:tc>
          <w:tcPr>
            <w:tcW w:type="dxa" w:w="1805"/>
          </w:tcPr>
          <w:p>
            <w:r/>
            <w:r>
              <w:rPr>
                <w:rFonts w:ascii="Times New Roman" w:hAnsi="Times New Roman"/>
                <w:b w:val="0"/>
                <w:i w:val="0"/>
                <w:sz w:val="18"/>
              </w:rPr>
              <w:t>52.6</w:t>
            </w:r>
          </w:p>
        </w:tc>
      </w:tr>
      <w:tr>
        <w:tc>
          <w:tcPr>
            <w:tcW w:type="dxa" w:w="1805"/>
          </w:tcPr>
          <w:p>
            <w:r/>
            <w:r>
              <w:rPr>
                <w:rFonts w:ascii="Times New Roman" w:hAnsi="Times New Roman"/>
                <w:b w:val="0"/>
                <w:i w:val="0"/>
                <w:sz w:val="18"/>
              </w:rPr>
              <w:t>Modalidad (monoterapia o combinada)</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36.8</w:t>
            </w:r>
          </w:p>
        </w:tc>
        <w:tc>
          <w:tcPr>
            <w:tcW w:type="dxa" w:w="1805"/>
          </w:tcPr>
          <w:p>
            <w:r/>
            <w:r>
              <w:rPr>
                <w:rFonts w:ascii="Times New Roman" w:hAnsi="Times New Roman"/>
                <w:b w:val="0"/>
                <w:i w:val="0"/>
                <w:sz w:val="18"/>
              </w:rPr>
              <w:t>60</w:t>
            </w:r>
          </w:p>
        </w:tc>
        <w:tc>
          <w:tcPr>
            <w:tcW w:type="dxa" w:w="1805"/>
          </w:tcPr>
          <w:p>
            <w:r/>
            <w:r>
              <w:rPr>
                <w:rFonts w:ascii="Times New Roman" w:hAnsi="Times New Roman"/>
                <w:b w:val="0"/>
                <w:i w:val="0"/>
                <w:sz w:val="18"/>
              </w:rPr>
              <w:t>63.2</w:t>
            </w:r>
          </w:p>
        </w:tc>
      </w:tr>
      <w:tr>
        <w:tc>
          <w:tcPr>
            <w:tcW w:type="dxa" w:w="1805"/>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805"/>
          </w:tcPr>
          <w:p>
            <w:r/>
            <w:r>
              <w:rPr>
                <w:rFonts w:ascii="Times New Roman" w:hAnsi="Times New Roman"/>
                <w:b w:val="0"/>
                <w:i w:val="0"/>
                <w:sz w:val="18"/>
              </w:rPr>
              <w:t>2</w:t>
            </w:r>
          </w:p>
        </w:tc>
        <w:tc>
          <w:tcPr>
            <w:tcW w:type="dxa" w:w="1805"/>
          </w:tcPr>
          <w:p>
            <w:r/>
            <w:r>
              <w:rPr>
                <w:rFonts w:ascii="Times New Roman" w:hAnsi="Times New Roman"/>
                <w:b w:val="0"/>
                <w:i w:val="0"/>
                <w:sz w:val="18"/>
              </w:rPr>
              <w:t>2.1</w:t>
            </w:r>
          </w:p>
        </w:tc>
        <w:tc>
          <w:tcPr>
            <w:tcW w:type="dxa" w:w="1805"/>
          </w:tcPr>
          <w:p>
            <w:r/>
            <w:r>
              <w:rPr>
                <w:rFonts w:ascii="Times New Roman" w:hAnsi="Times New Roman"/>
                <w:b w:val="0"/>
                <w:i w:val="0"/>
                <w:sz w:val="18"/>
              </w:rPr>
              <w:t>93</w:t>
            </w:r>
          </w:p>
        </w:tc>
        <w:tc>
          <w:tcPr>
            <w:tcW w:type="dxa" w:w="1805"/>
          </w:tcPr>
          <w:p>
            <w:r/>
            <w:r>
              <w:rPr>
                <w:rFonts w:ascii="Times New Roman" w:hAnsi="Times New Roman"/>
                <w:b w:val="0"/>
                <w:i w:val="0"/>
                <w:sz w:val="18"/>
              </w:rPr>
              <w:t>97.9</w:t>
            </w:r>
          </w:p>
        </w:tc>
      </w:tr>
    </w:tbl>
    <w:p/>
    <w:p>
      <w:pPr>
        <w:spacing w:before="240" w:after="100" w:line="240" w:lineRule="auto"/>
      </w:pPr>
      <w:r>
        <w:rPr>
          <w:rFonts w:ascii="Times New Roman" w:hAnsi="Times New Roman"/>
          <w:b w:val="0"/>
          <w:i/>
          <w:sz w:val="18"/>
        </w:rPr>
        <w:t>Tabla 3.</w:t>
      </w:r>
      <w:r>
        <w:rPr>
          <w:rFonts w:ascii="Times New Roman" w:hAnsi="Times New Roman"/>
          <w:b w:val="0"/>
          <w:i w:val="0"/>
          <w:sz w:val="18"/>
        </w:rPr>
        <w:t xml:space="preserve"> Comparación entre los estudios con y sin texto completo obtenido.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Con texto completo</w:t>
            </w:r>
          </w:p>
        </w:tc>
        <w:tc>
          <w:tcPr>
            <w:tcW w:type="dxa" w:w="3009"/>
          </w:tcPr>
          <w:p>
            <w:r/>
            <w:r>
              <w:rPr>
                <w:rFonts w:ascii="Times New Roman" w:hAnsi="Times New Roman"/>
                <w:b/>
                <w:i w:val="0"/>
                <w:sz w:val="18"/>
              </w:rPr>
              <w:t>Sin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71</w:t>
            </w:r>
          </w:p>
        </w:tc>
        <w:tc>
          <w:tcPr>
            <w:tcW w:type="dxa" w:w="3009"/>
          </w:tcPr>
          <w:p>
            <w:r/>
            <w:r>
              <w:rPr>
                <w:rFonts w:ascii="Times New Roman" w:hAnsi="Times New Roman"/>
                <w:b w:val="0"/>
                <w:i w:val="0"/>
                <w:sz w:val="18"/>
              </w:rPr>
              <w:t>24</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7.0</w:t>
            </w:r>
          </w:p>
        </w:tc>
        <w:tc>
          <w:tcPr>
            <w:tcW w:type="dxa" w:w="3009"/>
          </w:tcPr>
          <w:p>
            <w:r/>
            <w:r>
              <w:rPr>
                <w:rFonts w:ascii="Times New Roman" w:hAnsi="Times New Roman"/>
                <w:b w:val="0"/>
                <w:i w:val="0"/>
                <w:sz w:val="18"/>
              </w:rPr>
              <w:t>25.0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36</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666</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val="0"/>
          <w:i/>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NOORG</w:t>
            </w:r>
          </w:p>
        </w:tc>
        <w:tc>
          <w:tcPr>
            <w:tcW w:type="dxa" w:w="1805"/>
          </w:tcPr>
          <w:p>
            <w:r/>
            <w:r>
              <w:rPr>
                <w:rFonts w:ascii="Times New Roman" w:hAnsi="Times New Roman"/>
                <w:b w:val="0"/>
                <w:i w:val="0"/>
                <w:sz w:val="18"/>
              </w:rPr>
              <w:t>La ficha de registro no declara ningun organismo: el criterio de P. aeruginosa no se puede verificar ni a favor ni en contra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val="0"/>
                <w:i/>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val="0"/>
          <w:i/>
          <w:sz w:val="18"/>
        </w:rPr>
        <w:t>Tabla 5.</w:t>
      </w:r>
      <w:r>
        <w:rPr>
          <w:rFonts w:ascii="Times New Roman" w:hAnsi="Times New Roman"/>
          <w:b w:val="0"/>
          <w:i w:val="0"/>
          <w:sz w:val="18"/>
        </w:rPr>
        <w:t xml:space="preserve"> Completitud de reporte de los cinco desenlaces declarados, sobre la extracción adjudicada (n = 103 brazos).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Desenlace</w:t>
            </w:r>
          </w:p>
        </w:tc>
        <w:tc>
          <w:tcPr>
            <w:tcW w:type="dxa" w:w="1805"/>
          </w:tcPr>
          <w:p>
            <w:r/>
            <w:r>
              <w:rPr>
                <w:rFonts w:ascii="Times New Roman" w:hAnsi="Times New Roman"/>
                <w:b/>
                <w:i w:val="0"/>
                <w:sz w:val="18"/>
              </w:rPr>
              <w:t>Con numerador y denominador</w:t>
            </w:r>
          </w:p>
        </w:tc>
        <w:tc>
          <w:tcPr>
            <w:tcW w:type="dxa" w:w="1805"/>
          </w:tcPr>
          <w:p>
            <w:r/>
            <w:r>
              <w:rPr>
                <w:rFonts w:ascii="Times New Roman" w:hAnsi="Times New Roman"/>
                <w:b/>
                <w:i w:val="0"/>
                <w:sz w:val="18"/>
              </w:rPr>
              <w:t>% de los 103 brazos</w:t>
            </w:r>
          </w:p>
        </w:tc>
        <w:tc>
          <w:tcPr>
            <w:tcW w:type="dxa" w:w="1805"/>
          </w:tcPr>
          <w:p>
            <w:r/>
            <w:r>
              <w:rPr>
                <w:rFonts w:ascii="Times New Roman" w:hAnsi="Times New Roman"/>
                <w:b/>
                <w:i w:val="0"/>
                <w:sz w:val="18"/>
              </w:rPr>
              <w:t>% de los 79 con texto completo</w:t>
            </w:r>
          </w:p>
        </w:tc>
        <w:tc>
          <w:tcPr>
            <w:tcW w:type="dxa" w:w="1805"/>
          </w:tcPr>
          <w:p>
            <w:r/>
            <w:r>
              <w:rPr>
                <w:rFonts w:ascii="Times New Roman" w:hAnsi="Times New Roman"/>
                <w:b/>
                <w:i w:val="0"/>
                <w:sz w:val="18"/>
              </w:rPr>
              <w:t>% con doble lectura</w:t>
            </w:r>
          </w:p>
        </w:tc>
      </w:tr>
      <w:tr>
        <w:tc>
          <w:tcPr>
            <w:tcW w:type="dxa" w:w="1805"/>
          </w:tcPr>
          <w:p>
            <w:r/>
            <w:r>
              <w:rPr>
                <w:rFonts w:ascii="Times New Roman" w:hAnsi="Times New Roman"/>
                <w:b w:val="0"/>
                <w:i w:val="0"/>
                <w:sz w:val="18"/>
              </w:rPr>
              <w:t>Éxito clínico</w:t>
            </w:r>
          </w:p>
        </w:tc>
        <w:tc>
          <w:tcPr>
            <w:tcW w:type="dxa" w:w="1805"/>
          </w:tcPr>
          <w:p>
            <w:r/>
            <w:r>
              <w:rPr>
                <w:rFonts w:ascii="Times New Roman" w:hAnsi="Times New Roman"/>
                <w:b w:val="0"/>
                <w:i w:val="0"/>
                <w:sz w:val="18"/>
              </w:rPr>
              <w:t>71</w:t>
            </w:r>
          </w:p>
        </w:tc>
        <w:tc>
          <w:tcPr>
            <w:tcW w:type="dxa" w:w="1805"/>
          </w:tcPr>
          <w:p>
            <w:r/>
            <w:r>
              <w:rPr>
                <w:rFonts w:ascii="Times New Roman" w:hAnsi="Times New Roman"/>
                <w:b w:val="0"/>
                <w:i w:val="0"/>
                <w:sz w:val="18"/>
              </w:rPr>
              <w:t>68.9</w:t>
            </w:r>
          </w:p>
        </w:tc>
        <w:tc>
          <w:tcPr>
            <w:tcW w:type="dxa" w:w="1805"/>
          </w:tcPr>
          <w:p>
            <w:r/>
            <w:r>
              <w:rPr>
                <w:rFonts w:ascii="Times New Roman" w:hAnsi="Times New Roman"/>
                <w:b w:val="0"/>
                <w:i w:val="0"/>
                <w:sz w:val="18"/>
              </w:rPr>
              <w:t>87.3</w:t>
            </w:r>
          </w:p>
        </w:tc>
        <w:tc>
          <w:tcPr>
            <w:tcW w:type="dxa" w:w="1805"/>
          </w:tcPr>
          <w:p>
            <w:r/>
            <w:r>
              <w:rPr>
                <w:rFonts w:ascii="Times New Roman" w:hAnsi="Times New Roman"/>
                <w:b w:val="0"/>
                <w:i w:val="0"/>
                <w:sz w:val="18"/>
              </w:rPr>
              <w:t>97.2</w:t>
            </w:r>
          </w:p>
        </w:tc>
      </w:tr>
      <w:tr>
        <w:tc>
          <w:tcPr>
            <w:tcW w:type="dxa" w:w="1805"/>
          </w:tcPr>
          <w:p>
            <w:r/>
            <w:r>
              <w:rPr>
                <w:rFonts w:ascii="Times New Roman" w:hAnsi="Times New Roman"/>
                <w:b w:val="0"/>
                <w:i w:val="0"/>
                <w:sz w:val="18"/>
              </w:rPr>
              <w:t>Erradicación microbiológica</w:t>
            </w:r>
          </w:p>
        </w:tc>
        <w:tc>
          <w:tcPr>
            <w:tcW w:type="dxa" w:w="1805"/>
          </w:tcPr>
          <w:p>
            <w:r/>
            <w:r>
              <w:rPr>
                <w:rFonts w:ascii="Times New Roman" w:hAnsi="Times New Roman"/>
                <w:b w:val="0"/>
                <w:i w:val="0"/>
                <w:sz w:val="18"/>
              </w:rPr>
              <w:t>57</w:t>
            </w:r>
          </w:p>
        </w:tc>
        <w:tc>
          <w:tcPr>
            <w:tcW w:type="dxa" w:w="1805"/>
          </w:tcPr>
          <w:p>
            <w:r/>
            <w:r>
              <w:rPr>
                <w:rFonts w:ascii="Times New Roman" w:hAnsi="Times New Roman"/>
                <w:b w:val="0"/>
                <w:i w:val="0"/>
                <w:sz w:val="18"/>
              </w:rPr>
              <w:t>55.3</w:t>
            </w:r>
          </w:p>
        </w:tc>
        <w:tc>
          <w:tcPr>
            <w:tcW w:type="dxa" w:w="1805"/>
          </w:tcPr>
          <w:p>
            <w:r/>
            <w:r>
              <w:rPr>
                <w:rFonts w:ascii="Times New Roman" w:hAnsi="Times New Roman"/>
                <w:b w:val="0"/>
                <w:i w:val="0"/>
                <w:sz w:val="18"/>
              </w:rPr>
              <w:t>70.9</w:t>
            </w:r>
          </w:p>
        </w:tc>
        <w:tc>
          <w:tcPr>
            <w:tcW w:type="dxa" w:w="1805"/>
          </w:tcPr>
          <w:p>
            <w:r/>
            <w:r>
              <w:rPr>
                <w:rFonts w:ascii="Times New Roman" w:hAnsi="Times New Roman"/>
                <w:b w:val="0"/>
                <w:i w:val="0"/>
                <w:sz w:val="18"/>
              </w:rPr>
              <w:t>98.2</w:t>
            </w:r>
          </w:p>
        </w:tc>
      </w:tr>
      <w:tr>
        <w:tc>
          <w:tcPr>
            <w:tcW w:type="dxa" w:w="1805"/>
          </w:tcPr>
          <w:p>
            <w:r/>
            <w:r>
              <w:rPr>
                <w:rFonts w:ascii="Times New Roman" w:hAnsi="Times New Roman"/>
                <w:b w:val="0"/>
                <w:i w:val="0"/>
                <w:sz w:val="18"/>
              </w:rPr>
              <w:t>Mortalidad</w:t>
            </w:r>
          </w:p>
        </w:tc>
        <w:tc>
          <w:tcPr>
            <w:tcW w:type="dxa" w:w="1805"/>
          </w:tcPr>
          <w:p>
            <w:r/>
            <w:r>
              <w:rPr>
                <w:rFonts w:ascii="Times New Roman" w:hAnsi="Times New Roman"/>
                <w:b w:val="0"/>
                <w:i w:val="0"/>
                <w:sz w:val="18"/>
              </w:rPr>
              <w:t>75</w:t>
            </w:r>
          </w:p>
        </w:tc>
        <w:tc>
          <w:tcPr>
            <w:tcW w:type="dxa" w:w="1805"/>
          </w:tcPr>
          <w:p>
            <w:r/>
            <w:r>
              <w:rPr>
                <w:rFonts w:ascii="Times New Roman" w:hAnsi="Times New Roman"/>
                <w:b w:val="0"/>
                <w:i w:val="0"/>
                <w:sz w:val="18"/>
              </w:rPr>
              <w:t>72.8</w:t>
            </w:r>
          </w:p>
        </w:tc>
        <w:tc>
          <w:tcPr>
            <w:tcW w:type="dxa" w:w="1805"/>
          </w:tcPr>
          <w:p>
            <w:r/>
            <w:r>
              <w:rPr>
                <w:rFonts w:ascii="Times New Roman" w:hAnsi="Times New Roman"/>
                <w:b w:val="0"/>
                <w:i w:val="0"/>
                <w:sz w:val="18"/>
              </w:rPr>
              <w:t>89.9</w:t>
            </w:r>
          </w:p>
        </w:tc>
        <w:tc>
          <w:tcPr>
            <w:tcW w:type="dxa" w:w="1805"/>
          </w:tcPr>
          <w:p>
            <w:r/>
            <w:r>
              <w:rPr>
                <w:rFonts w:ascii="Times New Roman" w:hAnsi="Times New Roman"/>
                <w:b w:val="0"/>
                <w:i w:val="0"/>
                <w:sz w:val="18"/>
              </w:rPr>
              <w:t>97.3</w:t>
            </w:r>
          </w:p>
        </w:tc>
      </w:tr>
      <w:tr>
        <w:tc>
          <w:tcPr>
            <w:tcW w:type="dxa" w:w="1805"/>
          </w:tcPr>
          <w:p>
            <w:r/>
            <w:r>
              <w:rPr>
                <w:rFonts w:ascii="Times New Roman" w:hAnsi="Times New Roman"/>
                <w:b w:val="0"/>
                <w:i w:val="0"/>
                <w:sz w:val="18"/>
              </w:rPr>
              <w:t>Eventos adversos</w:t>
            </w:r>
          </w:p>
        </w:tc>
        <w:tc>
          <w:tcPr>
            <w:tcW w:type="dxa" w:w="1805"/>
          </w:tcPr>
          <w:p>
            <w:r/>
            <w:r>
              <w:rPr>
                <w:rFonts w:ascii="Times New Roman" w:hAnsi="Times New Roman"/>
                <w:b w:val="0"/>
                <w:i w:val="0"/>
                <w:sz w:val="18"/>
              </w:rPr>
              <w:t>81</w:t>
            </w:r>
          </w:p>
        </w:tc>
        <w:tc>
          <w:tcPr>
            <w:tcW w:type="dxa" w:w="1805"/>
          </w:tcPr>
          <w:p>
            <w:r/>
            <w:r>
              <w:rPr>
                <w:rFonts w:ascii="Times New Roman" w:hAnsi="Times New Roman"/>
                <w:b w:val="0"/>
                <w:i w:val="0"/>
                <w:sz w:val="18"/>
              </w:rPr>
              <w:t>78.6</w:t>
            </w:r>
          </w:p>
        </w:tc>
        <w:tc>
          <w:tcPr>
            <w:tcW w:type="dxa" w:w="1805"/>
          </w:tcPr>
          <w:p>
            <w:r/>
            <w:r>
              <w:rPr>
                <w:rFonts w:ascii="Times New Roman" w:hAnsi="Times New Roman"/>
                <w:b w:val="0"/>
                <w:i w:val="0"/>
                <w:sz w:val="18"/>
              </w:rPr>
              <w:t>89.9</w:t>
            </w:r>
          </w:p>
        </w:tc>
        <w:tc>
          <w:tcPr>
            <w:tcW w:type="dxa" w:w="1805"/>
          </w:tcPr>
          <w:p>
            <w:r/>
            <w:r>
              <w:rPr>
                <w:rFonts w:ascii="Times New Roman" w:hAnsi="Times New Roman"/>
                <w:b w:val="0"/>
                <w:i w:val="0"/>
                <w:sz w:val="18"/>
              </w:rPr>
              <w:t>98.8</w:t>
            </w:r>
          </w:p>
        </w:tc>
      </w:tr>
      <w:tr>
        <w:tc>
          <w:tcPr>
            <w:tcW w:type="dxa" w:w="1805"/>
          </w:tcPr>
          <w:p>
            <w:r/>
            <w:r>
              <w:rPr>
                <w:rFonts w:ascii="Times New Roman" w:hAnsi="Times New Roman"/>
                <w:b w:val="0"/>
                <w:i w:val="0"/>
                <w:sz w:val="18"/>
              </w:rPr>
              <w:t>Emergencia de resistencia al fago</w:t>
            </w:r>
          </w:p>
        </w:tc>
        <w:tc>
          <w:tcPr>
            <w:tcW w:type="dxa" w:w="1805"/>
          </w:tcPr>
          <w:p>
            <w:r/>
            <w:r>
              <w:rPr>
                <w:rFonts w:ascii="Times New Roman" w:hAnsi="Times New Roman"/>
                <w:b w:val="0"/>
                <w:i w:val="0"/>
                <w:sz w:val="18"/>
              </w:rPr>
              <w:t>28</w:t>
            </w:r>
          </w:p>
        </w:tc>
        <w:tc>
          <w:tcPr>
            <w:tcW w:type="dxa" w:w="1805"/>
          </w:tcPr>
          <w:p>
            <w:r/>
            <w:r>
              <w:rPr>
                <w:rFonts w:ascii="Times New Roman" w:hAnsi="Times New Roman"/>
                <w:b w:val="0"/>
                <w:i w:val="0"/>
                <w:sz w:val="18"/>
              </w:rPr>
              <w:t>27.2</w:t>
            </w:r>
          </w:p>
        </w:tc>
        <w:tc>
          <w:tcPr>
            <w:tcW w:type="dxa" w:w="1805"/>
          </w:tcPr>
          <w:p>
            <w:r/>
            <w:r>
              <w:rPr>
                <w:rFonts w:ascii="Times New Roman" w:hAnsi="Times New Roman"/>
                <w:b w:val="0"/>
                <w:i w:val="0"/>
                <w:sz w:val="18"/>
              </w:rPr>
              <w:t>35.4</w:t>
            </w:r>
          </w:p>
        </w:tc>
        <w:tc>
          <w:tcPr>
            <w:tcW w:type="dxa" w:w="1805"/>
          </w:tcPr>
          <w:p>
            <w:r/>
            <w:r>
              <w:rPr>
                <w:rFonts w:ascii="Times New Roman" w:hAnsi="Times New Roman"/>
                <w:b w:val="0"/>
                <w:i w:val="0"/>
                <w:sz w:val="18"/>
              </w:rPr>
              <w:t>57.1</w:t>
            </w:r>
          </w:p>
        </w:tc>
      </w:tr>
    </w:tbl>
    <w:p/>
    <w:p>
      <w:pPr>
        <w:spacing w:before="240" w:after="100" w:line="240" w:lineRule="auto"/>
      </w:pPr>
      <w:r>
        <w:rPr>
          <w:rFonts w:ascii="Times New Roman" w:hAnsi="Times New Roman"/>
          <w:b w:val="0"/>
          <w:i/>
          <w:sz w:val="18"/>
        </w:rPr>
        <w:t>Tabla 6.</w:t>
      </w:r>
      <w:r>
        <w:rPr>
          <w:rFonts w:ascii="Times New Roman" w:hAnsi="Times New Roman"/>
          <w:b w:val="0"/>
          <w:i w:val="0"/>
          <w:sz w:val="18"/>
        </w:rPr>
        <w:t xml:space="preserve"> Brazos que sobreviven a cada requisito de una proporción agrupada de éxito clínico (n = 103 brazos).</w:t>
      </w:r>
    </w:p>
    <w:tbl>
      <w:tblPr>
        <w:tblStyle w:val="TableGrid"/>
        <w:tblW w:type="auto" w:w="0"/>
        <w:jc w:val="center"/>
        <w:tblLook w:firstColumn="1" w:firstRow="1" w:lastColumn="0" w:lastRow="0" w:noHBand="0" w:noVBand="1" w:val="04A0"/>
      </w:tblPr>
      <w:tblGrid>
        <w:gridCol w:w="4513"/>
        <w:gridCol w:w="4513"/>
      </w:tblGrid>
      <w:tr>
        <w:tc>
          <w:tcPr>
            <w:tcW w:type="dxa" w:w="4513"/>
          </w:tcPr>
          <w:p>
            <w:r/>
            <w:r>
              <w:rPr>
                <w:rFonts w:ascii="Times New Roman" w:hAnsi="Times New Roman"/>
                <w:b/>
                <w:i w:val="0"/>
                <w:sz w:val="18"/>
              </w:rPr>
              <w:t>Requisito acumulado</w:t>
            </w:r>
          </w:p>
        </w:tc>
        <w:tc>
          <w:tcPr>
            <w:tcW w:type="dxa" w:w="4513"/>
          </w:tcPr>
          <w:p>
            <w:r/>
            <w:r>
              <w:rPr>
                <w:rFonts w:ascii="Times New Roman" w:hAnsi="Times New Roman"/>
                <w:b/>
                <w:i w:val="0"/>
                <w:sz w:val="18"/>
              </w:rPr>
              <w:t>Brazos que quedan</w:t>
            </w:r>
          </w:p>
        </w:tc>
      </w:tr>
      <w:tr>
        <w:tc>
          <w:tcPr>
            <w:tcW w:type="dxa" w:w="4513"/>
          </w:tcPr>
          <w:p>
            <w:r/>
            <w:r>
              <w:rPr>
                <w:rFonts w:ascii="Times New Roman" w:hAnsi="Times New Roman"/>
                <w:b w:val="0"/>
                <w:i w:val="0"/>
                <w:sz w:val="18"/>
              </w:rPr>
              <w:t>Brazos extraídos</w:t>
            </w:r>
          </w:p>
        </w:tc>
        <w:tc>
          <w:tcPr>
            <w:tcW w:type="dxa" w:w="4513"/>
          </w:tcPr>
          <w:p>
            <w:r/>
            <w:r>
              <w:rPr>
                <w:rFonts w:ascii="Times New Roman" w:hAnsi="Times New Roman"/>
                <w:b w:val="0"/>
                <w:i w:val="0"/>
                <w:sz w:val="18"/>
              </w:rPr>
              <w:t>103</w:t>
            </w:r>
          </w:p>
        </w:tc>
      </w:tr>
      <w:tr>
        <w:tc>
          <w:tcPr>
            <w:tcW w:type="dxa" w:w="4513"/>
          </w:tcPr>
          <w:p>
            <w:r/>
            <w:r>
              <w:rPr>
                <w:rFonts w:ascii="Times New Roman" w:hAnsi="Times New Roman"/>
                <w:b w:val="0"/>
                <w:i w:val="0"/>
                <w:sz w:val="18"/>
              </w:rPr>
              <w:t>Diseño comparativo</w:t>
            </w:r>
          </w:p>
        </w:tc>
        <w:tc>
          <w:tcPr>
            <w:tcW w:type="dxa" w:w="4513"/>
          </w:tcPr>
          <w:p>
            <w:r/>
            <w:r>
              <w:rPr>
                <w:rFonts w:ascii="Times New Roman" w:hAnsi="Times New Roman"/>
                <w:b w:val="0"/>
                <w:i w:val="0"/>
                <w:sz w:val="18"/>
              </w:rPr>
              <w:t>18</w:t>
            </w:r>
          </w:p>
        </w:tc>
      </w:tr>
      <w:tr>
        <w:tc>
          <w:tcPr>
            <w:tcW w:type="dxa" w:w="4513"/>
          </w:tcPr>
          <w:p>
            <w:r/>
            <w:r>
              <w:rPr>
                <w:rFonts w:ascii="Times New Roman" w:hAnsi="Times New Roman"/>
                <w:b w:val="0"/>
                <w:i w:val="0"/>
                <w:sz w:val="18"/>
              </w:rPr>
              <w:t>Numerador y denominador coherentes</w:t>
            </w:r>
          </w:p>
        </w:tc>
        <w:tc>
          <w:tcPr>
            <w:tcW w:type="dxa" w:w="4513"/>
          </w:tcPr>
          <w:p>
            <w:r/>
            <w:r>
              <w:rPr>
                <w:rFonts w:ascii="Times New Roman" w:hAnsi="Times New Roman"/>
                <w:b w:val="0"/>
                <w:i w:val="0"/>
                <w:sz w:val="18"/>
              </w:rPr>
              <w:t>5</w:t>
            </w:r>
          </w:p>
        </w:tc>
      </w:tr>
      <w:tr>
        <w:tc>
          <w:tcPr>
            <w:tcW w:type="dxa" w:w="4513"/>
          </w:tcPr>
          <w:p>
            <w:r/>
            <w:r>
              <w:rPr>
                <w:rFonts w:ascii="Times New Roman" w:hAnsi="Times New Roman"/>
                <w:b w:val="0"/>
                <w:i w:val="0"/>
                <w:sz w:val="18"/>
              </w:rPr>
              <w:t>Definición operativa del éxito</w:t>
            </w:r>
          </w:p>
        </w:tc>
        <w:tc>
          <w:tcPr>
            <w:tcW w:type="dxa" w:w="4513"/>
          </w:tcPr>
          <w:p>
            <w:r/>
            <w:r>
              <w:rPr>
                <w:rFonts w:ascii="Times New Roman" w:hAnsi="Times New Roman"/>
                <w:b w:val="0"/>
                <w:i w:val="0"/>
                <w:sz w:val="18"/>
              </w:rPr>
              <w:t>2</w:t>
            </w:r>
          </w:p>
        </w:tc>
      </w:tr>
      <w:tr>
        <w:tc>
          <w:tcPr>
            <w:tcW w:type="dxa" w:w="4513"/>
          </w:tcPr>
          <w:p>
            <w:r/>
            <w:r>
              <w:rPr>
                <w:rFonts w:ascii="Times New Roman" w:hAnsi="Times New Roman"/>
                <w:b w:val="0"/>
                <w:i w:val="0"/>
                <w:sz w:val="18"/>
              </w:rPr>
              <w:t>Desenlace atribuible a P. aeruginosa</w:t>
            </w:r>
          </w:p>
        </w:tc>
        <w:tc>
          <w:tcPr>
            <w:tcW w:type="dxa" w:w="4513"/>
          </w:tcPr>
          <w:p>
            <w:r/>
            <w:r>
              <w:rPr>
                <w:rFonts w:ascii="Times New Roman" w:hAnsi="Times New Roman"/>
                <w:b w:val="0"/>
                <w:i w:val="0"/>
                <w:sz w:val="18"/>
              </w:rPr>
              <w:t>1</w:t>
            </w:r>
          </w:p>
        </w:tc>
      </w:tr>
      <w:tr>
        <w:tc>
          <w:tcPr>
            <w:tcW w:type="dxa" w:w="4513"/>
          </w:tcPr>
          <w:p>
            <w:r/>
            <w:r>
              <w:rPr>
                <w:rFonts w:ascii="Times New Roman" w:hAnsi="Times New Roman"/>
                <w:b w:val="0"/>
                <w:i w:val="0"/>
                <w:sz w:val="18"/>
              </w:rPr>
              <w:t>Administración terapéutica, no profiláctica</w:t>
            </w:r>
          </w:p>
        </w:tc>
        <w:tc>
          <w:tcPr>
            <w:tcW w:type="dxa" w:w="4513"/>
          </w:tcPr>
          <w:p>
            <w:r/>
            <w:r>
              <w:rPr>
                <w:rFonts w:ascii="Times New Roman" w:hAnsi="Times New Roman"/>
                <w:b w:val="0"/>
                <w:i w:val="0"/>
                <w:sz w:val="18"/>
              </w:rPr>
              <w:t>1</w:t>
            </w:r>
          </w:p>
        </w:tc>
      </w:tr>
      <w:tr>
        <w:tc>
          <w:tcPr>
            <w:tcW w:type="dxa" w:w="4513"/>
          </w:tcPr>
          <w:p>
            <w:r/>
            <w:r>
              <w:rPr>
                <w:rFonts w:ascii="Times New Roman" w:hAnsi="Times New Roman"/>
                <w:b w:val="0"/>
                <w:i w:val="0"/>
                <w:sz w:val="18"/>
              </w:rPr>
              <w:t>Reporta una proporción, no un tiempo</w:t>
            </w:r>
          </w:p>
        </w:tc>
        <w:tc>
          <w:tcPr>
            <w:tcW w:type="dxa" w:w="4513"/>
          </w:tcPr>
          <w:p>
            <w:r/>
            <w:r>
              <w:rPr>
                <w:rFonts w:ascii="Times New Roman" w:hAnsi="Times New Roman"/>
                <w:b w:val="0"/>
                <w:i w:val="0"/>
                <w:sz w:val="18"/>
              </w:rPr>
              <w:t>0</w:t>
            </w:r>
          </w:p>
        </w:tc>
      </w:tr>
    </w:tbl>
    <w:p/>
    <w:p>
      <w:pPr>
        <w:spacing w:before="240" w:after="100" w:line="240" w:lineRule="auto"/>
      </w:pPr>
      <w:r>
        <w:rPr>
          <w:rFonts w:ascii="Times New Roman" w:hAnsi="Times New Roman"/>
          <w:b w:val="0"/>
          <w:i/>
          <w:sz w:val="18"/>
        </w:rPr>
        <w:t>Figura 1. Diagrama de flujo PRISMA 2020.</w:t>
      </w:r>
    </w:p>
    <w:p>
      <w:pPr>
        <w:jc w:val="center"/>
      </w:pPr>
      <w:r>
        <w:drawing>
          <wp:inline xmlns:a="http://schemas.openxmlformats.org/drawingml/2006/main" xmlns:pic="http://schemas.openxmlformats.org/drawingml/2006/picture">
            <wp:extent cx="5120640" cy="5548501"/>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548501"/>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rFonts w:ascii="Times New Roman" w:hAnsi="Times New Roman"/>
          <w:b w:val="0"/>
          <w:i/>
          <w:sz w:val="22"/>
        </w:rPr>
        <w:t>Fuente.</w:t>
      </w:r>
      <w:r>
        <w:rPr>
          <w:rFonts w:ascii="Times New Roman" w:hAnsi="Times New Roman"/>
          <w:b w:val="0"/>
          <w:i w:val="0"/>
          <w:sz w:val="22"/>
        </w:rPr>
        <w:t xml:space="preserve"> Canal de cribado del proyecto; última ejecución de la búsqueda, 10 de agosto de 2026.</w:t>
      </w:r>
    </w:p>
    <w:p>
      <w:pPr>
        <w:spacing w:before="240" w:after="100" w:line="240" w:lineRule="auto"/>
      </w:pPr>
      <w:r>
        <w:rPr>
          <w:rFonts w:ascii="Times New Roman" w:hAnsi="Times New Roman"/>
          <w:b w:val="0"/>
          <w:i/>
          <w:sz w:val="18"/>
        </w:rPr>
        <w:t>Figura 2. Composición del cuerpo de evidencia recuperable (n = 95 estudios).</w:t>
      </w:r>
    </w:p>
    <w:p>
      <w:pPr>
        <w:jc w:val="center"/>
      </w:pPr>
      <w:r>
        <w:drawing>
          <wp:inline xmlns:a="http://schemas.openxmlformats.org/drawingml/2006/main" xmlns:pic="http://schemas.openxmlformats.org/drawingml/2006/picture">
            <wp:extent cx="5120640" cy="2343750"/>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3750"/>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95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S0.</w:t>
      </w:r>
      <w:r>
        <w:rPr>
          <w:rFonts w:ascii="Times New Roman" w:hAnsi="Times New Roman"/>
          <w:b w:val="0"/>
          <w:i w:val="0"/>
          <w:sz w:val="22"/>
        </w:rPr>
        <w:t xml:space="preserve"> Informe editorial: qué se decidió, cuándo y con qué fundamento.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w:t>
      </w:r>
      <w:r>
        <w:rPr>
          <w:rFonts w:ascii="Times New Roman" w:hAnsi="Times New Roman"/>
          <w:b w:val="0"/>
          <w:i w:val="0"/>
          <w:sz w:val="22"/>
        </w:rPr>
        <w:t xml:space="preserve"> Ecuaciones de búsqueda literales por fuente, con fecha y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S3.</w:t>
      </w:r>
      <w:r>
        <w:rPr>
          <w:rFonts w:ascii="Times New Roman" w:hAnsi="Times New Roman"/>
          <w:b w:val="0"/>
          <w:i w:val="0"/>
          <w:sz w:val="22"/>
        </w:rPr>
        <w:t xml:space="preserve"> Registro completo de decisiones de cribado, en dos ficheros: etapa 2 (título) y etapa 3 (resumen). Cada fila lleva su motivo codificado, quién la emitió y su marca de tiempo.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S4.</w:t>
      </w:r>
      <w:r>
        <w:rPr>
          <w:rFonts w:ascii="Times New Roman" w:hAnsi="Times New Roman"/>
          <w:b w:val="0"/>
          <w:i w:val="0"/>
          <w:sz w:val="22"/>
        </w:rPr>
        <w:t xml:space="preserve"> Pre-extracción desde el resumen,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S5.</w:t>
      </w:r>
      <w:r>
        <w:rPr>
          <w:rFonts w:ascii="Times New Roman" w:hAnsi="Times New Roman"/>
          <w:b w:val="0"/>
          <w:i w:val="0"/>
          <w:sz w:val="22"/>
        </w:rPr>
        <w:t xml:space="preserve"> Listado de los 137 estudios con su situación y sus informes agrupados, y de los 46 excluidos tras el cribado, con su motivo y su cita.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S6.</w:t>
      </w:r>
      <w:r>
        <w:rPr>
          <w:rFonts w:ascii="Times New Roman" w:hAnsi="Times New Roman"/>
          <w:b w:val="0"/>
          <w:i w:val="0"/>
          <w:sz w:val="22"/>
        </w:rPr>
        <w:t xml:space="preserve"> Auditoría de controles positivos.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S8.</w:t>
      </w:r>
      <w:r>
        <w:rPr>
          <w:rFonts w:ascii="Times New Roman" w:hAnsi="Times New Roman"/>
          <w:b w:val="0"/>
          <w:i w:val="0"/>
          <w:sz w:val="22"/>
        </w:rPr>
        <w:t xml:space="preserve"> Registro de recuperación de texto completo: qué se intentó por cada estudio y con qué resultado.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S10.</w:t>
      </w:r>
      <w:r>
        <w:rPr>
          <w:rFonts w:ascii="Times New Roman" w:hAnsi="Times New Roman"/>
          <w:b w:val="0"/>
          <w:i w:val="0"/>
          <w:sz w:val="22"/>
        </w:rPr>
        <w:t xml:space="preserve"> Verificación del idioma sobre el texto completo del PDF, no sobre los metadatos.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S11.</w:t>
      </w:r>
      <w:r>
        <w:rPr>
          <w:rFonts w:ascii="Times New Roman" w:hAnsi="Times New Roman"/>
          <w:b w:val="0"/>
          <w:i w:val="0"/>
          <w:sz w:val="22"/>
        </w:rPr>
        <w:t xml:space="preserve"> Concordancia entre las dos extracciones independientes, antes de resolver los desacuerdos.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S12.</w:t>
      </w:r>
      <w:r>
        <w:rPr>
          <w:rFonts w:ascii="Times New Roman" w:hAnsi="Times New Roman"/>
          <w:b w:val="0"/>
          <w:i w:val="0"/>
          <w:sz w:val="22"/>
        </w:rPr>
        <w:t xml:space="preserve"> Resolución de conflictos de extracción, incluidos los que no pueden dirimirse todavía.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S14.</w:t>
      </w:r>
      <w:r>
        <w:rPr>
          <w:rFonts w:ascii="Times New Roman" w:hAnsi="Times New Roman"/>
          <w:b w:val="0"/>
          <w:i w:val="0"/>
          <w:sz w:val="22"/>
        </w:rPr>
        <w:t xml:space="preserve"> Extracción adjudicada: un valor por casilla, brazo a brazo, tras el consenso.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S15.</w:t>
      </w:r>
      <w:r>
        <w:rPr>
          <w:rFonts w:ascii="Times New Roman" w:hAnsi="Times New Roman"/>
          <w:b w:val="0"/>
          <w:i w:val="0"/>
          <w:sz w:val="22"/>
        </w:rPr>
        <w:t xml:space="preserve"> Procedencia de cada casilla de S14: acuerdo, consenso,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S13.</w:t>
      </w:r>
      <w:r>
        <w:rPr>
          <w:rFonts w:ascii="Times New Roman" w:hAnsi="Times New Roman"/>
          <w:b w:val="0"/>
          <w:i w:val="0"/>
          <w:sz w:val="22"/>
        </w:rPr>
        <w:t xml:space="preserve"> Reglas de extracción de desenlaces, con su corrección documentada.</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