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 Cada autor debe adjuntar además el formulario ICMJE Disclosure of Interest firmado.</w:t>
      </w:r>
    </w:p>
    <w:p>
      <w:pPr>
        <w:pStyle w:val="Heading2"/>
      </w:pPr>
      <w:r>
        <w:t>Contribución de los autores (CRediT)</w:t>
      </w:r>
    </w:p>
    <w:p>
      <w:r>
        <w:t>PENDIENTE DE COMPLETAR antes del envío. Debe asignar a cada autor las categorías CRediT que le correspondan: conceptualización, curación de datos, análisis formal, investigación, metodología, software, validación, visualización, redacción del borrador original, y redacción con revisión y edición.</w:t>
      </w:r>
    </w:p>
    <w:p>
      <w:pPr>
        <w:pStyle w:val="Heading2"/>
      </w:pPr>
      <w:r>
        <w:t>Registro del protocolo</w:t>
      </w:r>
    </w:p>
    <w:p>
      <w:r>
        <w:t>PENDIENTE. La revisión no está registrada en PROSPERO ni en OSF. El manuscrito declara la ausencia de forma explícita en §2.1. Si se registra antes del envío, debe sustituirse esa declaración por el número de registro; no debe declararse un registro retrospectivo como si fuera prospectivo.</w:t>
      </w:r>
    </w:p>
    <w:p>
      <w:pPr>
        <w:pStyle w:val="Heading2"/>
      </w:pPr>
      <w:r>
        <w:t>Disponibilidad de datos y código</w:t>
      </w:r>
    </w:p>
    <w:p>
      <w:r>
        <w:t>El corpus de cribado, los registros de decisión completos, el formulario de extracción y todo el código del canal están disponibles en el repositorio del proyecto. Los registros de decisión son solo-anexar y conservan cada corrección junto con la decisión original.</w:t>
      </w:r>
    </w:p>
    <w:p>
      <w:pPr>
        <w:pStyle w:val="Heading2"/>
      </w:pPr>
      <w:r>
        <w:t>Uso de inteligencia artificial</w:t>
      </w:r>
    </w:p>
    <w:p>
      <w:r>
        <w:t>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2"/>
      </w:pPr>
      <w:r>
        <w:t>Ética y consentimiento</w:t>
      </w:r>
    </w:p>
    <w:p>
      <w:r>
        <w:t>No aplica: la revisión se basa en literatura publicada y en registros públicos de ensayos, sin datos individuales de pacientes.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