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251; texto principal 5 597.</w:t>
      </w:r>
    </w:p>
    <w:p>
      <w:r>
        <w:rPr>
          <w:b/>
        </w:rPr>
        <w:t>Tablas:</w:t>
      </w:r>
      <w:r>
        <w:t xml:space="preserve"> 5. </w:t>
      </w:r>
      <w:r>
        <w:rPr>
          <w:b/>
        </w:rPr>
        <w:t>Figuras:</w:t>
      </w:r>
      <w:r>
        <w:t xml:space="preserve"> 2. </w:t>
      </w:r>
      <w:r>
        <w:rPr>
          <w:b/>
        </w:rPr>
        <w:t>Material suplementario:</w:t>
      </w:r>
      <w:r>
        <w:t xml:space="preserve"> 14 anexos (S0–S13)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el cuerpo de evidencia admite agregación, y nadie lo ha examinado.</w:t>
      </w:r>
    </w:p>
    <w:p>
      <w:r>
        <w:rPr>
          <w:b/>
        </w:rPr>
        <w:t>Objetivos.</w:t>
      </w:r>
      <w:r>
        <w:t xml:space="preserve"> Delimitarla de forma reproducible y determinar si su estructura y su reporte admiten una síntesis cuantitativa de eficacia.</w:t>
      </w:r>
    </w:p>
    <w:p>
      <w:r>
        <w:rPr>
          <w:b/>
        </w:rPr>
        <w:t>Métodos.</w:t>
      </w:r>
      <w:r>
        <w:t xml:space="preserve"> PRISMA 2020, con corrientes separadas para bases y registros. Ocho fuentes —incluidas BVS y SciELO—, ventana 2016–2026 donde la admiten. Solo inglés o español, criterio incorporado como </w:t>
      </w:r>
      <w:r>
        <w:rPr>
          <w:b/>
        </w:rPr>
        <w:t>enmienda posterior al cribado</w:t>
      </w:r>
      <w:r>
        <w:t xml:space="preserve"> y verificado sobre el texto completo. La unidad fue el estudio. Extracción manual, por duplicado e independiente, con consenso en los desacuerdos; la estructura sale de una pre-extracción desde el resumen y los desenlaces, de la extracción adjudicada.</w:t>
      </w:r>
    </w:p>
    <w:p>
      <w:r>
        <w:rPr>
          <w:b/>
        </w:rPr>
        <w:t>Resultados.</w:t>
      </w:r>
      <w:r>
        <w:t xml:space="preserve"> De 23 057 registros quedaron 17 129 informes únicos; 233 informes formaron 184 estudios, 124 con publicación recuperable. Casos únicos, 39,5 %; comparativos, 18,5 %; sin clase de resistencia asignable, 80,6 %. Se obtuvo el texto completo de 93 (75,0 %) y lo que falta concentra el 47,8 % de los comparativos; el criterio de idioma eliminó 35 estudios, 18 comparativos. En 89 de los 132 brazos (67,4 %) no consta definición operativa del éxito clínico, y solo 3 reúnen diseño comparativo, numerador, denominador y definición; uno mide tiempo, no proporción.</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verificabilidad —entendida como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48 estudios que declaran procedencia, 21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con publicación recuperable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525 de 541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r>
        <w:t xml:space="preserve">La caracterización estructural del corpus (secciones 3.1 a 3.4, tablas 1 a 4) procede de una pre-extracción sistemática desde el resumen de los 124 estudios,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y su </w:t>
      </w:r>
      <w:r>
        <w:rPr>
          <w:b/>
        </w:rPr>
        <w:t>verificabilidad</w:t>
      </w:r>
      <w:r>
        <w:t>, con tres componentes medidos —la recuperabilidad del informe (secciones 3.1 y 3.2), la completitud de reporte estructural (sección 3.4) y la completitud de reporte de desenlaces (sección 3.5)—.</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w:t>
      </w:r>
    </w:p>
    <w:p>
      <w:r>
        <w:rPr>
          <w:b/>
        </w:rPr>
        <w:t>Ninguna de las dos evaluaciones se ha realizado, y esta revisión no las reporta.</w:t>
      </w:r>
      <w:r>
        <w:t xml:space="preserve"> Los motivos son concretos y conviene declararlos por separado. El riesgo de sesgo exige que los dos revisores lean cada artículo y emitan un juicio por dominio; queda pendiente y no se sustituye por ningún indicador derivado del diseño, que no es lo mismo. Además, 31 de los 124 estudios con publicación recuperable siguen sin texto completo (sección 3.2), de modo que una evaluación hecha hoy dejaría fuera a una fracción no aleatoria del corpus. En cuanto a GRADE, evalúa la certeza de una estimación agrupada, y esta revisión no presenta ninguna: la sección 3.5 muestra que solo 3 de los 132 brazos reúnen los requisitos mínimos para agregar. Calificar la certeza de un resultado que no existe sería un trámite, no una evaluación.</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w:t>
      </w:r>
      <w:r>
        <w:t>: 154 con un solo informe y 30 con varios, hasta un máximo de once informes de un mismo ensayo.</w:t>
      </w:r>
    </w:p>
    <w:p>
      <w:r>
        <w:t xml:space="preserve">De los 184 estudios, </w:t>
      </w:r>
      <w:r>
        <w:rPr>
          <w:b/>
        </w:rPr>
        <w:t>124 tienen publicación recuperable</w:t>
      </w:r>
      <w:r>
        <w:t xml:space="preserve">: 121 artículos y 3 que solo existen como resumen de congreso. Los </w:t>
      </w:r>
      <w:r>
        <w:rPr>
          <w:b/>
        </w:rPr>
        <w:t>60 restantes son únicamente fichas de registro de ensayo</w:t>
      </w:r>
      <w:r>
        <w:t>, sin publicación asociada localizable. Esa cifra basta por sí sola para describir un campo en el que casi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93 de los 124 estudios recuperables (75,0 %)</w:t>
      </w:r>
      <w:r>
        <w:t xml:space="preserve"> por vías de acceso abierto legítimas. Los 31 restantes requieren préstamo interbibliotecario, acceso institucional o solicitud a los autores.</w:t>
      </w:r>
    </w:p>
    <w:p>
      <w:r>
        <w:t xml:space="preserve">La fracción no obtenida </w:t>
      </w:r>
      <w:r>
        <w:rPr>
          <w:b/>
        </w:rPr>
        <w:t>no es una muestra aleatoria del conjunto</w:t>
      </w:r>
      <w:r>
        <w:t xml:space="preserve"> (Tabla 3). Contiene 11 de los 23 estudios comparativos, el </w:t>
      </w:r>
      <w:r>
        <w:rPr>
          <w:b/>
        </w:rPr>
        <w:t>47,8 %</w:t>
      </w:r>
      <w:r>
        <w:t>, y, aunque declara menos pacientes en total, concentra los diseños que sostienen una comparación. De los cuatro ensayos aleatorizados de referencia del campo [@Jault2019_phagoburn; @Leitner2021_lancetid_pyophage; @NirPaz2025_med_tp102; @Chan2023_jcf_cyphy], dos siguen sin leerse: el de fagos intravesicales y el de TP-102. De PhagoBurn se obtuvo el artículo. Del ensayo de Yale no existe artículo completo publicado, sino un resumen de congreso y los resultados depositados en el registro; lo que se obtuvo es el protocolo del ensayo, que documenta el diseño pero no los desenlaces.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124 estudios recuperables se publicaron entre </w:t>
      </w:r>
      <w:r>
        <w:rPr>
          <w:b/>
        </w:rPr>
        <w:t>2016 y 2026</w:t>
      </w:r>
      <w:r>
        <w:t xml:space="preserve">, y el </w:t>
      </w:r>
      <w:r>
        <w:rPr>
          <w:b/>
        </w:rPr>
        <w:t>83,1 %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49 reportes de caso único (39,5 %)</w:t>
      </w:r>
      <w:r>
        <w:t xml:space="preserve">, 19 series de casos, 16 ensayos aleatorizados, 13 cohortes prospectivas, 7 ensayos no aleatorizados y 4 cohortes retrospectivas. Otros 16 no declaran su diseño de forma reconocible en el resumen. Los comparativos suman </w:t>
      </w:r>
      <w:r>
        <w:rPr>
          <w:b/>
        </w:rPr>
        <w:t>23 estudios, el 18,5 %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80,6 %</w:t>
      </w:r>
      <w:r>
        <w:t xml:space="preserve"> de los estudios: el 70,2 % no la menciona en absoluto y un 10,5 %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57,3 %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52,4 %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98,4 %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132 brazos extraídos.</w:t>
      </w:r>
    </w:p>
    <w:p>
      <w:r>
        <w:t>La completitud es desigual y, en el mejor de los casos, parcial. Los eventos adversos son lo que más se reporta con denominador (73,5 % de los brazos) y la emergencia de resistencia al fago lo que menos (24,2 %), pese a ser el desenlace que decide si la intervención conserva su utilidad. Esos porcentajes se calculan sobre los 132 brazos, e incluyen por tanto 31 de estudios cuyo texto completo no se ha recuperado: de un artículo que no se ha podido leer no cabe afirmar que calle. Sobre los 101 brazos legibles las cifras suben —del 73,5 % al 84,2 % en eventos adversos, del 24,2 % al 31,7 % en resistencia—, y la tabla 5 da las dos columnas para que el lector distinga el silencio de la literatura del hueco documental de esta revisión. El éxito clínico, que es el que las síntesis publicadas agregan, consta con numerador y denominador en el 62,9 % de los brazos. Dos brazos reportan un numerador mayor que su denominador —trece éxitos clínicos sobre un paciente, y cinco eventos adversos sobre cuatro—; se señalan como error de reporte y no se leen como proporciones.</w:t>
      </w:r>
    </w:p>
    <w:p>
      <w:r>
        <w:t xml:space="preserve">Ese 62,9 % es, sin embargo, engañoso si se lee como disponibilidad para agregar. </w:t>
      </w:r>
      <w:r>
        <w:rPr>
          <w:b/>
        </w:rPr>
        <w:t>En 89 de los 132 brazos (67,4 %) no consta una definición operativa de éxito clínico.</w:t>
      </w:r>
      <w:r>
        <w:t xml:space="preserve"> En 60 de ellos los revisores lo establecieron leyendo el artículo: 58 declaran un número de pacientes con «buen resultado» sin decir qué había que observar para contarlo, y 2 dejaron el campo sin dato. En los 29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El diseño tampoco consta siempre: en 30 de los 132 brazos no puede clasificarse —20 en que los dos revisores acordaron «NA» y 10 que siguen abiertos—, de modo que los recuentos por diseño son suelos sobre los 102 restantes. De esos 102, 24 brazos son de diseño comparativo.</w:t>
      </w:r>
    </w:p>
    <w:p>
      <w:r>
        <w:t xml:space="preserve">Al cruzar los cuatro requisitos que una proporción agrupada exigiría —diseño comparativo, numerador, denominador y definición operativa del desenlace— el corpus deja </w:t>
      </w:r>
      <w:r>
        <w:rPr>
          <w:b/>
        </w:rPr>
        <w:t>3 brazos de los 132</w:t>
      </w:r>
      <w:r>
        <w:t xml:space="preserve">. Y uno de los tres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Quedan 2.</w:t>
      </w:r>
      <w:r>
        <w:t xml:space="preserve"> Y los dos definen el éxito de forma distinta: uno como la ausencia o resolución de un síndrome clínico de seis signos sin neumonía asociada a ventilación; el otro, como el alivio de los síntomas «con independencia de si la bacteria se detectaba». No hay dos que definan lo mismo porque no hay dos.</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184 estudios frente a las decenas que manejan las revisiones publicadas, y habrían sido 219 sin la restricción de idioma que se adoptó al final.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184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búsqueda no interrogó Embase ni el ICTRP de la OMS, lo que reduce la cobertura de series de casos y resúmenes de congreso y deja la corriente de registros limitada a Estados Unidos y la Unión Europea. </w:t>
      </w:r>
      <w:r>
        <w:rPr>
          <w:b/>
        </w:rPr>
        <w:t>Segunda:</w:t>
      </w:r>
      <w:r>
        <w:t xml:space="preserve"> se limitó a publicaciones de 2016 a 2026, de modo que describe la producción reciente y no el campo entero. </w:t>
      </w:r>
      <w:r>
        <w:rPr>
          <w:b/>
        </w:rPr>
        <w:t>Tercera:</w:t>
      </w:r>
      <w:r>
        <w:t xml:space="preserve"> este informe describe la completitud con que se reportan los desenlaces (sección 3.5), pero no presenta estimaciones de eficacia, ni evaluación del riesgo de sesgo, ni certeza GRADE (sección 2.7): es una caracterización del cuerpo de evidencia, no una síntesis de sus resultados. </w:t>
      </w:r>
      <w:r>
        <w:rPr>
          <w:b/>
        </w:rPr>
        <w:t>Cuarta:</w:t>
      </w:r>
      <w:r>
        <w:t xml:space="preserve"> el texto completo se obtuvo para el 75,0 % de los estudios recuperables, y la fracción faltante está enriquecida en diseños comparativos, de manera que lo descrito subrepresenta la parte comparativa del campo. </w:t>
      </w:r>
      <w:r>
        <w:rPr>
          <w:b/>
        </w:rPr>
        <w:t>Quinta: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r>
        <w:rPr>
          <w:b/>
        </w:rPr>
        <w:t>Agradecimientos.</w:t>
      </w:r>
      <w:r>
        <w:t xml:space="preserve"> Los autores agradecen al personal de la biblioteca de la Universidad Católica de Cuenca la gestión de las solicitudes de préstamo interbibliotecario, y a los autores de los estudios que respondieron a las peticiones de texto completo.</w:t>
      </w:r>
    </w:p>
    <w:p>
      <w:pPr>
        <w:pStyle w:val="Heading1"/>
      </w:pPr>
      <w:r>
        <w:t>Tablas y figuras</w:t>
      </w:r>
    </w:p>
    <w:p>
      <w:r>
        <w:t>Las cinco tablas se aportan como archivos independientes (`paper/tablas/`), cada una con su nota al pie. Las dos figuras se aportan en PDF vectorial (`paper/figuras/`).</w:t>
      </w:r>
    </w:p>
    <w:p>
      <w:r>
        <w:rPr>
          <w:b/>
        </w:rPr>
        <w:t>Tabla 1.</w:t>
      </w:r>
      <w:r>
        <w:t xml:space="preserve"> Características del cuerpo de evidencia recuperable (n = 124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132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124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124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