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7 514.</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46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137</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12 de los 15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90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137 a 113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46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137 estudios</w:t>
      </w:r>
      <w:r>
        <w:rPr>
          <w:rFonts w:ascii="Times New Roman" w:hAnsi="Times New Roman"/>
          <w:b w:val="0"/>
          <w:i w:val="0"/>
          <w:sz w:val="22"/>
        </w:rPr>
        <w:t>, que agrupan 171 informes: 115 con un solo informe y 22 con varios, hasta un máximo de once informes de un mismo ensayo.</w:t>
      </w:r>
    </w:p>
    <w:p>
      <w:pPr>
        <w:spacing w:before="200" w:after="100"/>
      </w:pPr>
      <w:r>
        <w:rPr>
          <w:rFonts w:ascii="Times New Roman" w:hAnsi="Times New Roman"/>
          <w:b/>
          <w:i w:val="0"/>
          <w:sz w:val="22"/>
        </w:rPr>
        <w:t>3.1.1 Los 46 estudios que el cribado admitió y que salieron después</w:t>
      </w:r>
    </w:p>
    <w:p>
      <w:pPr>
        <w:jc w:val="both"/>
      </w:pPr>
      <w:r>
        <w:rPr>
          <w:rFonts w:ascii="Times New Roman" w:hAnsi="Times New Roman"/>
          <w:b w:val="0"/>
          <w:i/>
          <w:sz w:val="22"/>
        </w:rPr>
        <w:t>Veintinueve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Veinticuatro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val="0"/>
          <w:i/>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val="0"/>
          <w:i/>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137 estudios, </w:t>
      </w:r>
      <w:r>
        <w:rPr>
          <w:rFonts w:ascii="Times New Roman" w:hAnsi="Times New Roman"/>
          <w:b w:val="0"/>
          <w:i/>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val="0"/>
          <w:i/>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val="0"/>
          <w:i/>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val="0"/>
          <w:i/>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103 brazos no puede clasificarse —12 en que los dos revisores acordaron «NA» y 7 que siguen abiertos—, de modo que los recuentos por diseño son suelos sobre los 84 restantes. De esos 91, </w:t>
      </w:r>
      <w:r>
        <w:rPr>
          <w:rFonts w:ascii="Times New Roman" w:hAnsi="Times New Roman"/>
          <w:b w:val="0"/>
          <w:i/>
          <w:sz w:val="22"/>
        </w:rPr>
        <w:t>8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18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9 estudios evaluados con ROBINS-I, el juicio global es de riesgo moderado en 2 y de riesgo grave en 7. El dominio que más juicios desfavorables concentra en ROBINS-I —alto riesgo en RoB 2; grave o crítico en ROBINS-I— es «sesgo por confusión», con 7 de 9. Los 90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12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137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55.3</w:t>
            </w:r>
          </w:p>
        </w:tc>
        <w:tc>
          <w:tcPr>
            <w:tcW w:type="dxa" w:w="1805"/>
          </w:tcPr>
          <w:p>
            <w:r/>
            <w:r>
              <w:rPr>
                <w:rFonts w:ascii="Times New Roman" w:hAnsi="Times New Roman"/>
                <w:b w:val="0"/>
                <w:i w:val="0"/>
                <w:sz w:val="18"/>
              </w:rPr>
              <w:t>70.9</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81</w:t>
            </w:r>
          </w:p>
        </w:tc>
        <w:tc>
          <w:tcPr>
            <w:tcW w:type="dxa" w:w="1805"/>
          </w:tcPr>
          <w:p>
            <w:r/>
            <w:r>
              <w:rPr>
                <w:rFonts w:ascii="Times New Roman" w:hAnsi="Times New Roman"/>
                <w:b w:val="0"/>
                <w:i w:val="0"/>
                <w:sz w:val="18"/>
              </w:rPr>
              <w:t>78.6</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18</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137 estudios con su situación y sus informes agrupados, y de los 46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