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6 955.</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183 studies and, on reading the full texts, </w:t>
      </w:r>
      <w:r>
        <w:rPr>
          <w:b/>
        </w:rPr>
        <w:t>46 left the corpus</w:t>
      </w:r>
      <w:r>
        <w:t xml:space="preserve"> —protocols, preclinical models, and articles where </w:t>
      </w:r>
      <w:r>
        <w:rPr>
          <w:i/>
        </w:rPr>
        <w:t>P. aeruginosa</w:t>
      </w:r>
      <w:r>
        <w:t xml:space="preserve"> appears only in the product's declared spectrum—, leaving </w:t>
      </w:r>
      <w:r>
        <w:rPr>
          <w:b/>
        </w:rPr>
        <w:t>137</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12 of the 15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t>Section 3.7 reports the 90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137 to 113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39 of them left the corpus</w:t>
      </w:r>
      <w:r>
        <w:t xml:space="preserve"> and were excluded; the next subsection details them. The evidence base stands at </w:t>
      </w:r>
      <w:r>
        <w:rPr>
          <w:b/>
        </w:rPr>
        <w:t>145 studies</w:t>
      </w:r>
      <w:r>
        <w:t>, grouping 179 reports: 123 with a single report and 22 with several, up to a maximum of eleven reports of one trial.</w:t>
      </w:r>
    </w:p>
    <w:p>
      <w:pPr>
        <w:pStyle w:val="Heading2"/>
      </w:pPr>
      <w:r>
        <w:t>3.1.1 The 39 studies the screening admitted and that later left</w:t>
      </w:r>
    </w:p>
    <w:p>
      <w:r>
        <w:rPr>
          <w:b/>
        </w:rPr>
        <w:t>Twenty-nine left when judged on their publication.</w:t>
      </w:r>
      <w:r>
        <w:t xml:space="preserve"> They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rPr>
          <w:b/>
        </w:rPr>
        <w:t>Another 17 studies left by a different route: their registry record.</w:t>
      </w:r>
      <w:r>
        <w:t xml:space="preserve"> The earlier 29 were judged on the article; these have no article.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remain.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Of the 145 studies, </w:t>
      </w:r>
      <w:r>
        <w:rPr>
          <w:b/>
        </w:rPr>
        <w:t>95 have a retrievable publication</w:t>
      </w:r>
      <w:r>
        <w:t xml:space="preserve">: 92 articles and 3 that exist only as conference abstracts. The remaining </w:t>
      </w:r>
      <w:r>
        <w:rPr>
          <w:b/>
        </w:rPr>
        <w:t>50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(78.6 %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12 of the 103 arms it cannot be classified — 13 where both reviewers agreed on "NA" and 8 still open — so the design counts are floors over the remaining 82. Of those 91, </w:t>
      </w:r>
      <w:r>
        <w:rPr>
          <w:b/>
        </w:rPr>
        <w:t>8 arms are trials</w:t>
      </w:r>
      <w:r>
        <w:t xml:space="preserve"> (randomised or not) and </w:t>
      </w:r>
      <w:r>
        <w:rPr>
          <w:b/>
        </w:rPr>
        <w:t>10 are cohorts</w:t>
      </w:r>
      <w:r>
        <w:t>. Section 3.3 and Table 1 call only the trials comparative, which is why the figure there is 23 studies; when this section says comparative it also includes the cohorts, and there are 18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2 and some concerns in 1. Of the 9 studies assessed with ROBINS-I, the overall judgement is moderate risk in 2 and serious risk in 7. The domain concentrating most unfavourable judgements —high risk under RoB 2; serious or critical under ROBINS-I— in ROBINS-I is “bias due to confounding”, in 7 of 9. The 90 judgements were issued in a single assessment agreed between the two authors; with no two independent readings, no inter-reviewer agreement is reported.</w:t>
      </w:r>
    </w:p>
    <w:p>
      <w:r>
        <w:rPr>
          <w:b/>
        </w:rPr>
        <w:t>Table 7.</w:t>
      </w:r>
      <w:r>
        <w:t xml:space="preserve"> Domain-level risk of bias for the 12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145 studies against the dozens handled by published reviews, and would have been 219 without the language restriction adopted at the end and without the 39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137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