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7 379.</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183 estudios y, al leer los textos completos, </w:t>
      </w:r>
      <w:r>
        <w:rPr>
          <w:b/>
        </w:rPr>
        <w:t>46 salieron del corpus</w:t>
      </w:r>
      <w:r>
        <w:t xml:space="preserve"> —protocolos, modelos preclínicos, y artículos donde </w:t>
      </w:r>
      <w:r>
        <w:rPr>
          <w:i/>
        </w:rPr>
        <w:t>P. aeruginosa</w:t>
      </w:r>
      <w:r>
        <w:t xml:space="preserve"> solo figura en el espectro del producto—: quedan </w:t>
      </w:r>
      <w:r>
        <w:rPr>
          <w:b/>
        </w:rPr>
        <w:t>137</w:t>
      </w:r>
      <w: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12 de los 15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consenso entre los dos autores, no por duplicado independiente.</w:t>
      </w:r>
      <w:r>
        <w:t xml:space="preserve"> A diferencia de la extracción de datos (sección 2.6), esta evaluación no admite una medida de concordancia entre revisores, y no se reporta ninguna. La limitación consta en la sección 4.4.</w:t>
      </w:r>
    </w:p>
    <w:p>
      <w:r>
        <w:rPr>
          <w:b/>
        </w:rPr>
        <w:t>GRADE no se aplica</w:t>
      </w:r>
      <w: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[@Guyatt2011_grade].</w:t>
      </w:r>
    </w:p>
    <w:p>
      <w:r>
        <w:t>La sección 3.7 reporta los 90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137 a 113 estudios, los comparativos de 11 a 5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Al leer sus textos completos durante la extracción se comprobó que </w:t>
      </w:r>
      <w:r>
        <w:rPr>
          <w:b/>
        </w:rPr>
        <w:t>46 de ellos salieron del corpus</w:t>
      </w:r>
      <w:r>
        <w:t xml:space="preserve">, y se excluyeron; el apartado siguiente los detalla. El cuerpo de evidencia queda en </w:t>
      </w:r>
      <w:r>
        <w:rPr>
          <w:b/>
        </w:rPr>
        <w:t>137 estudios</w:t>
      </w:r>
      <w:r>
        <w:t>, que agrupan 171 informes: 115 con un solo informe y 22 con varios, hasta un máximo de once informes de un mismo ensayo.</w:t>
      </w:r>
    </w:p>
    <w:p>
      <w:pPr>
        <w:pStyle w:val="Heading2"/>
      </w:pPr>
      <w:r>
        <w:t>3.1.1 Los 46 estudios que el cribado admitió y que salieron después</w:t>
      </w:r>
    </w:p>
    <w:p>
      <w:r>
        <w:rPr>
          <w:b/>
        </w:rPr>
        <w:t>Veintinueve salieron al juzgarlos sobre su publicación.</w:t>
      </w:r>
      <w:r>
        <w:t xml:space="preserve"> Se excluyeron por ocho motivos, y ninguno es una discrepancia de criterio: son estudios que no cumplen lo que la sección 2.2 ya exigía. </w:t>
      </w:r>
      <w:r>
        <w:rPr>
          <w:b/>
        </w:rPr>
        <w:t>Veinticuatro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95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rPr>
          <w:b/>
        </w:rPr>
        <w:t>Otros 17 estudios salieron por una vía distinta: la ficha de su registro.</w:t>
      </w:r>
      <w:r>
        <w:t xml:space="preserve"> Los 29 anteriores se juzgaron sobre el artículo; estos no tienen artículo.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y se quedan.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De los 137 estudios, </w:t>
      </w:r>
      <w:r>
        <w:rPr>
          <w:b/>
        </w:rPr>
        <w:t>95 tienen publicación recuperable</w:t>
      </w:r>
      <w:r>
        <w:t xml:space="preserve">: 92 artículos y 3 que solo existen como resumen de congreso. Los </w:t>
      </w:r>
      <w:r>
        <w:rPr>
          <w:b/>
        </w:rPr>
        <w:t>42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95 estudios recuperables (74,7 %)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11 estudios comparativos, el </w:t>
      </w:r>
      <w:r>
        <w:rPr>
          <w:b/>
        </w:rPr>
        <w:t>54,5 %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(44,2 %)</w:t>
      </w:r>
      <w:r>
        <w:t xml:space="preserve">, 18 series de casos, 13 cohortes prospectivas, 7 ensayos aleatorizados, 4 ensayos no aleatorizados y 3 cohortes retrospectivas. Otros 8 no declaran su diseño de forma reconocible en el resumen. Los comparativos suman </w:t>
      </w:r>
      <w:r>
        <w:rPr>
          <w:b/>
        </w:rPr>
        <w:t>11 estudios, el 11,6 %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75,8 %</w:t>
      </w:r>
      <w: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38,9 %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103 brazos del corpus vigente.</w:t>
      </w:r>
    </w:p>
    <w:p>
      <w:r>
        <w:t>La completitud es desigual y, en el mejor de los casos, parcial. Los eventos adversos son lo que más se reporta con denominador (78,6 %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78,6 % al 89,9 %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r>
        <w:t xml:space="preserve">Ese 68,9 % es, sin embargo, engañoso si se lee como disponibilidad para agregar. </w:t>
      </w:r>
      <w:r>
        <w:rPr>
          <w:b/>
        </w:rPr>
        <w:t>En 69 de los 103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12 de los 103 brazos no puede clasificarse —12 en que los dos revisores acordaron «NA» y 7 que siguen abiertos—, de modo que los recuentos por diseño son suelos sobre los 84 restantes. De esos 91, </w:t>
      </w:r>
      <w:r>
        <w:rPr>
          <w:b/>
        </w:rPr>
        <w:t>8 brazos son ensayos</w:t>
      </w:r>
      <w:r>
        <w:t xml:space="preserve"> (aleatorizados o no) y </w:t>
      </w:r>
      <w:r>
        <w:rPr>
          <w:b/>
        </w:rPr>
        <w:t>10 son cohortes</w:t>
      </w:r>
      <w:r>
        <w:t>. La sección 3.3 y la tabla 1 llaman «comparativos» solo a los ensayos, y por eso allí la cifra es 11 estudios: cuando en esta sección se dice «comparativo» se incluyen también las cohortes, y son 18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103</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103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2 y de algunas preocupaciones en 1. De los 9 estudios evaluados con ROBINS-I, el juicio global es de riesgo moderado en 2 y de riesgo grave en 7. El dominio que más juicios desfavorables concentra en ROBINS-I —alto riesgo en RoB 2; grave o crítico en ROBINS-I— es «sesgo por confusión», con 7 de 9. Los 90 juicios se emitieron en una evaluación única acordada entre los dos autores; al no haber dos lecturas independientes, no se reporta concordancia entre revisores.</w:t>
      </w:r>
    </w:p>
    <w:p>
      <w:r>
        <w:rPr>
          <w:b/>
        </w:rPr>
        <w:t>Tabla 7.</w:t>
      </w:r>
      <w:r>
        <w:t xml:space="preserve"> Riesgo de sesgo por dominio de los 12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137 estudios frente a las decenas que manejan las revisiones publicadas, y habrían sido 218 sin la restricción de idioma que se adoptó al final y sin los 46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137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b/>
        </w:rPr>
        <w:t>Quinta:</w:t>
      </w:r>
      <w:r>
        <w:t xml:space="preserve"> el texto completo se obtuvo para el 74,7 %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95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103 brazos).</w:t>
      </w:r>
    </w:p>
    <w:p>
      <w:r>
        <w:rPr>
          <w:b/>
        </w:rPr>
        <w:t>Tabla 6.</w:t>
      </w:r>
      <w:r>
        <w:t xml:space="preserve"> Brazos que sobreviven a cada requisito de una proporción agrupada de éxito clínico (n = 103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137 estudios con su situación y sus informes agrupados, y de los 46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