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258; texto principal 3 898.</w:t>
      </w:r>
    </w:p>
    <w:p>
      <w:r>
        <w:rPr>
          <w:b/>
        </w:rPr>
        <w:t>Tablas:</w:t>
      </w:r>
      <w:r>
        <w:t xml:space="preserve"> 4. </w:t>
      </w:r>
      <w:r>
        <w:rPr>
          <w:b/>
        </w:rPr>
        <w:t>Figuras:</w:t>
      </w:r>
      <w:r>
        <w:t xml:space="preserve"> 2. </w:t>
      </w:r>
      <w:r>
        <w:rPr>
          <w:b/>
        </w:rPr>
        <w:t>Material suplementario:</w:t>
      </w:r>
      <w:r>
        <w:t xml:space="preserve"> 6 archivos.</w:t>
      </w:r>
    </w:p>
    <w:p>
      <w:pPr>
        <w:pStyle w:val="Heading1"/>
      </w:pPr>
      <w:r>
        <w:t>Resumen</w:t>
      </w:r>
    </w:p>
    <w:p>
      <w:r>
        <w:rPr>
          <w:b/>
        </w:rPr>
        <w:t>Antecedentes.</w:t>
      </w:r>
      <w:r>
        <w:t xml:space="preserve"> </w:t>
      </w:r>
      <w:r>
        <w:rPr>
          <w:i/>
        </w:rPr>
        <w:t>Pseudomonas aeruginosa</w:t>
      </w:r>
      <w:r>
        <w:t xml:space="preserve"> multirresistente es un patógeno de prioridad crítica de la OMS.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nueve fuentes sin restricción de fecha, incluidas BVS y SciELO. Solo se admitieron informes en inglés o español, criterio incorporado como enmienda posterior al cribado y verificado informe a informe, también sobre el texto completo de cada PDF. La unidad de inclusión fue el estudio, no el informe.</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la clase de resistencia en el 70,2 %. Se obtuvo el texto completo de 69 estudios (55,6 %); la fracción restante concentra el 47,8 % de los diseños comparativos. El criterio de idioma eliminó 35 estudios, 18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ocupa un lugar estable entre los patógenos prioritarios de la Organización Mundial de la Salud [@Tacconelli2018_who; @WHO2024_bppl].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@Krakhotkin2025_currurol].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t>Las ecuaciones completas se aportan como suplemento, con la sintaxis literal de cada interfaz, el número de resultados y la fecha en que se corrió.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para que lo lea una persona.</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124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(4 062), organismo distinto sin subgrupo separable (3 031), revisión o comentario sin datos primarios (2 807), no evalúa fagoterapia en pacientes (2 634), ámbito veterinario (838)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69 de los 124 estudios recuperables (55,6 %)</w:t>
      </w:r>
      <w:r>
        <w:t xml:space="preserve"> por vías de acceso abierto legítimas. Los 55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declara más pacientes que la fracción obtenida.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consta en el </w:t>
      </w:r>
      <w:r>
        <w:rPr>
          <w:b/>
        </w:rPr>
        <w:t>70,2 %</w:t>
      </w:r>
      <w:r>
        <w:t xml:space="preserve"> de los estudios.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«Éxito clínico» abarca en esta literatura desde la resolución de una fístula a dos años hasta la ausencia de fiebre a los tres días. Sin una definición común, la proporción agrupada suma numeradores que no cuentan lo mismo.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Siete de cada diez no declaran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@Krakhotkin2025_currurol].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55,6 % de los estudios recuperables, y la fracción faltante está enriquecida en diseños comparativos, de manera que lo descrito aquí subrepresenta la parte comparativa del campo. </w:t>
      </w:r>
      <w:r>
        <w:rPr>
          <w:b/>
        </w:rPr>
        <w:t>Cuarta:</w:t>
      </w:r>
      <w:r>
        <w:t xml:space="preserve"> el cribado lo realizó un solo revisor asistido por reglas explícitas, con auditoría de controles positivos pero sin duplicación independiente. La duplicación está prevista para la fase de extracción. </w:t>
      </w:r>
      <w:r>
        <w:rPr>
          <w:b/>
        </w:rPr>
        <w:t>Quinta:</w:t>
      </w:r>
      <w:r>
        <w:t xml:space="preserve"> la restricción a inglés y español se adoptó cuando el cribado ya había terminado, y eliminó 35 estudios, 18 de ellos comparativos y uno perteneciente al conjunto de control positivo. Empuja el corpus en la misma dirección que el sesgo de recuperación y reduce lo que esta revisión puede decir sobre la literatura de Europa del Este, que es donde se concentran los diseños con comparador.</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Conflictos de interés.</w:t>
      </w:r>
      <w:r>
        <w:t xml:space="preserve"> Los autores declaran no tener conflictos de interés.</w:t>
      </w:r>
    </w:p>
    <w:p>
      <w:r>
        <w:rPr>
          <w:b/>
        </w:rPr>
        <w:t>Contribución de los autores.</w:t>
      </w:r>
      <w:r>
        <w:t xml:space="preserve"> [Pendiente de completar conforme a CRediT antes del envío.]</w:t>
      </w:r>
    </w:p>
    <w:p>
      <w:r>
        <w:rPr>
          <w:b/>
        </w:rPr>
        <w:t>Disponibilidad de datos y código.</w:t>
      </w:r>
      <w:r>
        <w:t xml:space="preserve"> El corpus de cribado, los registros de decisión completos, el formulario de extracción y todo el código del canal están disponibles en el repositorio del proyecto. Los registros de decisión son solo-anexar y conservan cada corrección.</w:t>
      </w:r>
    </w:p>
    <w:p>
      <w:r>
        <w:rPr>
          <w:b/>
        </w:rPr>
        <w:t>Uso de inteligencia artificial.</w:t>
      </w:r>
      <w:r>
        <w:t xml:space="preserve"> En la preparación de este trabajo se emplearon herramientas de inteligencia artificial generativa (Claude, Anthropic) para la asistencia en la programación del canal de cribado, la pre-extracción desde resúmenes y la redacción de borradores. Los autores revisaron y verificaron todo el contenido y asumen la responsabilidad íntegra por su exactitud e integridad. Ninguna herramienta de IA figura como autora, conforme a las recomendaciones del ICMJE.</w:t>
      </w:r>
    </w:p>
    <w:p>
      <w:r>
        <w:rPr>
          <w:b/>
        </w:rPr>
        <w:t>Agradecimientos.</w:t>
      </w:r>
      <w:r>
        <w:t xml:space="preserve"> [Pendiente.]</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t>S1. Lista de comprobación PRISMA 2020.</w:t>
      </w:r>
    </w:p>
    <w:p>
      <w:pPr>
        <w:pStyle w:val="ListBullet"/>
      </w:pPr>
      <w:r>
        <w:t>S2. Ecuaciones de búsqueda literales por base, con fecha y número de resultados.</w:t>
      </w:r>
    </w:p>
    <w:p>
      <w:pPr>
        <w:pStyle w:val="ListBullet"/>
      </w:pPr>
      <w:r>
        <w:t>S3. Registro completo de decisiones de cribado (etapas 1 a 3).</w:t>
      </w:r>
    </w:p>
    <w:p>
      <w:pPr>
        <w:pStyle w:val="ListBullet"/>
      </w:pPr>
      <w:r>
        <w:t>S4. Formulario de extracción y libro de códigos.</w:t>
      </w:r>
    </w:p>
    <w:p>
      <w:pPr>
        <w:pStyle w:val="ListBullet"/>
      </w:pPr>
      <w:r>
        <w:t>S5. Listado de los 219 estudios con su situación y sus informes.</w:t>
      </w:r>
    </w:p>
    <w:p>
      <w:pPr>
        <w:pStyle w:val="ListBullet"/>
      </w:pPr>
      <w:r>
        <w:t>S6. Auditoría de controles positivos.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