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Fagoterapia en infecciones por Pseudomonas aeruginosa multirresistente: revisión sistemática de la estructura y la verificabilidad del cuerpo de evidencia clínica</w:t>
      </w:r>
    </w:p>
    <w:p>
      <w:r>
        <w:rPr>
          <w:b/>
        </w:rPr>
        <w:t>Danny Valdiviezo</w:t>
      </w:r>
      <w:r>
        <w:t xml:space="preserve">^1^, </w:t>
      </w:r>
      <w:r>
        <w:rPr>
          <w:b/>
        </w:rPr>
        <w:t>Nataly Trelles</w:t>
      </w:r>
      <w:r>
        <w:t>^1^</w:t>
      </w:r>
    </w:p>
    <w:p>
      <w:r>
        <w:t>^1^ Facultad de Medicina, Universidad Católica de Cuenca, Cuenca, Ecuador.</w:t>
      </w:r>
    </w:p>
    <w:p>
      <w:r>
        <w:rPr>
          <w:b/>
        </w:rPr>
        <w:t>Autor de correspondencia:</w:t>
      </w:r>
      <w:r>
        <w:t xml:space="preserve"> Danny Valdiviezo. Universidad Católica de Cuenca, Av. de las Américas y Humboldt, Cuenca, Ecuador. Correo: dvchiqui@gmail.com</w:t>
      </w:r>
    </w:p>
    <w:p>
      <w:r>
        <w:rPr>
          <w:b/>
        </w:rPr>
        <w:t>Recuento de palabras:</w:t>
      </w:r>
      <w:r>
        <w:t xml:space="preserve"> resumen 296; texto principal 4 304.</w:t>
      </w:r>
    </w:p>
    <w:p>
      <w:r>
        <w:rPr>
          <w:b/>
        </w:rPr>
        <w:t>Tablas:</w:t>
      </w:r>
      <w:r>
        <w:t xml:space="preserve"> 4. </w:t>
      </w:r>
      <w:r>
        <w:rPr>
          <w:b/>
        </w:rPr>
        <w:t>Figuras:</w:t>
      </w:r>
      <w:r>
        <w:t xml:space="preserve"> 2. </w:t>
      </w:r>
      <w:r>
        <w:rPr>
          <w:b/>
        </w:rPr>
        <w:t>Material suplementario:</w:t>
      </w:r>
      <w:r>
        <w:t xml:space="preserve"> 6 archivos.</w:t>
      </w:r>
    </w:p>
    <w:p>
      <w:pPr>
        <w:pStyle w:val="Heading1"/>
      </w:pPr>
      <w:r>
        <w:t>Resumen</w:t>
      </w:r>
    </w:p>
    <w:p>
      <w:r>
        <w:rPr>
          <w:b/>
        </w:rPr>
        <w:t>Antecedentes.</w:t>
      </w:r>
      <w:r>
        <w:t xml:space="preserve"> </w:t>
      </w:r>
      <w:r>
        <w:rPr>
          <w:i/>
        </w:rPr>
        <w:t>Pseudomonas aeruginosa</w:t>
      </w:r>
      <w:r>
        <w:t xml:space="preserve"> multirresistente es un patógeno de prioridad crítica de la OMS. Varias síntesis recientes han agregado los desenlaces de la fagoterapia en proporciones globales de éxito. Hacerlo da por supuesto que este cuerpo de evidencia admite agregación, y nadie ha examinado ese supuesto.</w:t>
      </w:r>
    </w:p>
    <w:p>
      <w:r>
        <w:rPr>
          <w:b/>
        </w:rPr>
        <w:t>Objetivos.</w:t>
      </w:r>
      <w:r>
        <w:t xml:space="preserve"> Delimitar de forma reproducible la literatura clínica sobre fagoterapia en </w:t>
      </w:r>
      <w:r>
        <w:rPr>
          <w:i/>
        </w:rPr>
        <w:t>P. aeruginosa</w:t>
      </w:r>
      <w:r>
        <w:t xml:space="preserve"> resistente y determinar si su estructura y su reporte permiten una síntesis cuantitativa de eficacia.</w:t>
      </w:r>
    </w:p>
    <w:p>
      <w:r>
        <w:rPr>
          <w:b/>
        </w:rPr>
        <w:t>Métodos.</w:t>
      </w:r>
      <w:r>
        <w:t xml:space="preserve"> Revisión sistemática conforme a PRISMA 2020, con corrientes separadas para bases y registros de ensayos. Se interrogaron nueve fuentes sin restricción de fecha, incluidas BVS y SciELO. Solo se admitieron informes en inglés o español, criterio incorporado como enmienda posterior al cribado y verificado informe a informe, también sobre el texto completo de cada PDF. La unidad de inclusión fue el estudio, no el informe. </w:t>
      </w:r>
      <w:r>
        <w:rPr>
          <w:b/>
        </w:rPr>
        <w:t>El cribado de títulos y resúmenes lo emitió un modelo de lenguaje como revisor único, sin duplicación independiente</w:t>
      </w:r>
      <w:r>
        <w:t>; la extracción se realiza a mano y por duplicado.</w:t>
      </w:r>
    </w:p>
    <w:p>
      <w:r>
        <w:rPr>
          <w:b/>
        </w:rPr>
        <w:t>Resultados.</w:t>
      </w:r>
      <w:r>
        <w:t xml:space="preserve"> De 23 057 registros quedaron 17 129 informes únicos. Pasaron a texto completo 233, agrupados en 184 estudios; 124 de ellos tienen publicación recuperable. El 39,5 % son casos únicos y solo el 18,5 % son comparativos. No consta la procedencia geográfica en el 61,3 % ni la clase de resistencia en el 70,2 %. Se obtuvo el texto completo de 89 estudios (71,8 %); la fracción restante concentra el 47,8 % de los diseños comparativos. El criterio de idioma eliminó 35 estudios, 18 de ellos comparativos.</w:t>
      </w:r>
    </w:p>
    <w:p>
      <w:r>
        <w:rPr>
          <w:b/>
        </w:rPr>
        <w:t>Conclusiones.</w:t>
      </w:r>
      <w:r>
        <w:t xml:space="preserve"> El cuerpo de evidencia es amplio y, a la vez, estructuralmente inadecuado para una síntesis cuantitativa de eficacia. Las proporciones de éxito publicadas descansan sobre supuestos que estos datos no sostienen.</w:t>
      </w:r>
    </w:p>
    <w:p>
      <w:r>
        <w:rPr>
          <w:b/>
        </w:rPr>
        <w:t>Palabras clave:</w:t>
      </w:r>
      <w:r>
        <w:t xml:space="preserve"> bacteriófagos; fagoterapia; </w:t>
      </w:r>
      <w:r>
        <w:rPr>
          <w:i/>
        </w:rPr>
        <w:t>Pseudomonas aeruginosa</w:t>
      </w:r>
      <w:r>
        <w:t>; multirresistencia; revisión sistemática; PRISMA.</w:t>
      </w:r>
    </w:p>
    <w:p>
      <w:pPr>
        <w:pStyle w:val="Heading1"/>
      </w:pPr>
      <w:r>
        <w:t>1. Introducción</w:t>
      </w:r>
    </w:p>
    <w:p>
      <w:r>
        <w:rPr>
          <w:i/>
        </w:rPr>
        <w:t>Pseudomonas aeruginosa</w:t>
      </w:r>
      <w:r>
        <w:t xml:space="preserve"> suma a su resistencia intrínseca una facilidad notable para adquirir determinantes nuevos. Por eso ocupa un lugar estable entre los patógenos prioritarios de la Organización Mundial de la Salud [@Tacconelli2018_who; @WHO2024_bppl].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r>
        <w:t>En ese estrechamiento ha reaparecido la fagoterapia. Los bacteriófagos líticos actúan por un mecanismo ajeno a las dianas antibióticas, respetan la microbiota acompañante y admiten adaptarse al aislado del propio paciente [@Pirnay2024_natmicrobiol]. Pero la literatura clínica que los respalda no creció como crece la evidencia de un fármaco en desarrollo. Creció como una acumulación de casos de rescate publicados de uno en uno, casi siempre después de que el paciente mejorara.</w:t>
      </w:r>
    </w:p>
    <w:p>
      <w: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[@Aslam2019_ajt]. Y cuando el fago se administra junto con antimicrobianos activos, ningún resultado favorable permite atribuir el mérito a uno u otro [@Chan2018_omko1_emph].</w:t>
      </w:r>
    </w:p>
    <w:p>
      <w:r>
        <w:t>Pese a ello, las síntesis publicadas han tendido a agregar esta literatura en proporciones globales de éxito clínico [@Uyttebroek2022_lancetid; @Liu2025_ijaa; @Krakhotkin2025_currurol].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r>
        <w:t>Hay entonces una pregunta previa a cualquier estimación, y es la que aborda esta revisión: ¿tiene este cuerpo de evidencia la estructura y la completitud de reporte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pStyle w:val="Heading1"/>
      </w:pPr>
      <w:r>
        <w:t>2. Métodos</w:t>
      </w:r>
    </w:p>
    <w:p>
      <w:pPr>
        <w:pStyle w:val="Heading2"/>
      </w:pPr>
      <w:r>
        <w:t>2.1 Protocolo y registro</w:t>
      </w:r>
    </w:p>
    <w:p>
      <w:r>
        <w:t>Esta revisión se condujo conforme a la declaración PRISMA 2020 [@Page2021_prisma]. La lista de comprobación completa acompaña al manuscrito como material suplementario.</w:t>
      </w:r>
    </w:p>
    <w:p>
      <w:r>
        <w:rPr>
          <w:b/>
        </w:rPr>
        <w:t>Esta revisión no está registrada</w:t>
      </w:r>
      <w:r>
        <w:t xml:space="preserve"> en PROSPERO ni en OSF. Se declara la ausencia en lugar de omitirla porque el registro prospectivo es una salvaguarda contra la modificación </w:t>
      </w:r>
      <w:r>
        <w:rPr>
          <w:i/>
        </w:rPr>
        <w:t>post hoc</w:t>
      </w:r>
      <w:r>
        <w:t xml:space="preserve"> de los desenlaces, y su ausencia es información que el lector necesita para calibrar la revisión. El protocolo, las decisiones metodológicas y sus fechas quedaron registrados de forma inalterable en el repositorio de trabajo desde el inicio (sección 2.7).</w:t>
      </w:r>
    </w:p>
    <w:p>
      <w:pPr>
        <w:pStyle w:val="Heading2"/>
      </w:pPr>
      <w:r>
        <w:t>2.2 Criterios de elegibilidad</w:t>
      </w:r>
    </w:p>
    <w:p>
      <w:r>
        <w:rPr>
          <w:b/>
        </w:rPr>
        <w:t>Población.</w:t>
      </w:r>
      <w:r>
        <w:t xml:space="preserve"> Pacientes humanos con infección por </w:t>
      </w:r>
      <w:r>
        <w:rPr>
          <w:i/>
        </w:rPr>
        <w:t>P. aeruginosa</w:t>
      </w:r>
      <w:r>
        <w:t xml:space="preserve"> clasificada por los autores como multirresistente (MDR), extremadamente resistente (XDR) o panresistente (PDR) según Magiorakos et al. [@Magiorakos2012_mdrxdr], o descrita en términos que impliquen esas categorías. Se admitieron estudios con varios patógenos cuando el subgrupo de </w:t>
      </w:r>
      <w:r>
        <w:rPr>
          <w:i/>
        </w:rPr>
        <w:t>P. aeruginosa</w:t>
      </w:r>
      <w:r>
        <w:t xml:space="preserve"> fuera separable.</w:t>
      </w:r>
    </w:p>
    <w:p>
      <w:r>
        <w:rPr>
          <w:b/>
        </w:rPr>
        <w:t>Intervención.</w:t>
      </w:r>
      <w: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r>
        <w:rPr>
          <w:b/>
        </w:rPr>
        <w:t>Comparador.</w:t>
      </w:r>
      <w:r>
        <w:t xml:space="preserve"> Ninguno exigido, dada la naturaleza esperada de la literatura.</w:t>
      </w:r>
    </w:p>
    <w:p>
      <w:r>
        <w:rPr>
          <w:b/>
        </w:rPr>
        <w:t>Desenlaces.</w:t>
      </w:r>
      <w:r>
        <w:t xml:space="preserve"> Éxito clínico, erradicación microbiológica, mortalidad, eventos adversos y emergencia de resistencia al fago, según la definición de cada estudio.</w:t>
      </w:r>
    </w:p>
    <w:p>
      <w:r>
        <w:rPr>
          <w:b/>
        </w:rPr>
        <w:t>Diseños.</w:t>
      </w:r>
      <w: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r>
        <w:rPr>
          <w:b/>
        </w:rPr>
        <w:t>Idioma.</w:t>
      </w:r>
      <w:r>
        <w:t xml:space="preserve"> Se admitieron informes redactados en inglés o en español. </w:t>
      </w:r>
      <w:r>
        <w:rPr>
          <w:b/>
        </w:rPr>
        <w:t>Este criterio no formaba parte del protocolo original y se incorporó el 11 de agosto de 2026, con el cribado ya concluido</w:t>
      </w:r>
      <w:r>
        <w:t>, de modo que la decisión se tomó conociendo el contenido del corpus. Es exactamente lo que el registro prospectivo existe para impedir, y por eso se declara como enmienda, con su impacto medido, en la sección 2.9 y en las limitaciones.</w:t>
      </w:r>
    </w:p>
    <w:p>
      <w:r>
        <w:t xml:space="preserve">El idioma no se dedujo del nombre de la revista, que falla en ambos sentidos: </w:t>
      </w:r>
      <w:r>
        <w:rPr>
          <w:i/>
        </w:rPr>
        <w:t>Pirogov Russian Journal of Surgery</w:t>
      </w:r>
      <w: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b/>
        </w:rPr>
        <w:t>texto íntegro</w:t>
      </w:r>
      <w: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asignación informe a informe, con su clase de evidencia y su prueba, se aporta como suplemento.</w:t>
      </w:r>
    </w:p>
    <w:p>
      <w:r>
        <w:rPr>
          <w:b/>
        </w:rPr>
        <w:t>Unidad de inclusión.</w:t>
      </w:r>
      <w:r>
        <w:t xml:space="preserve"> El </w:t>
      </w:r>
      <w:r>
        <w:rPr>
          <w:b/>
        </w:rPr>
        <w:t>estudio</w:t>
      </w:r>
      <w:r>
        <w:t>, no el informe, conforme a PRISMA 2020. Un protocolo, sus resúmenes de congreso y su publicación final son un solo estudio con varios informes. La decisión y su justificación constan en el registro de decisiones del proyecto.</w:t>
      </w:r>
    </w:p>
    <w:p>
      <w:pPr>
        <w:pStyle w:val="Heading2"/>
      </w:pPr>
      <w:r>
        <w:t>2.3 Fuentes de información y estrategia de búsqueda</w:t>
      </w:r>
    </w:p>
    <w:p>
      <w:r>
        <w:t xml:space="preserve">Se interrogaron nueve fuentes en las dos corrientes que PRISMA 2020 exige separar. Como </w:t>
      </w:r>
      <w:r>
        <w:rPr>
          <w:b/>
        </w:rPr>
        <w:t>bases bibliográficas</w:t>
      </w:r>
      <w:r>
        <w:t xml:space="preserve">: PubMed, Scopus en dos brazos (uno con el organismo primero y otro con la intervención primero), Cochrane CENTRAL, BVS con LILACS, CUMED, BINACIS y MedCarib, y SciELO. Como </w:t>
      </w:r>
      <w:r>
        <w:rPr>
          <w:b/>
        </w:rPr>
        <w:t>registros de ensayos</w:t>
      </w:r>
      <w:r>
        <w:t>: ClinicalTrials.gov, EudraCT y CTIS. No se restringió el idioma, la fecha ni el tipo de publicación. La última ejecución fue el 10 de agosto de 2026.</w:t>
      </w:r>
    </w:p>
    <w:p>
      <w:r>
        <w:t>Las ecuaciones completas se aportan como suplemento, con la sintaxis literal de cada interfaz, el número de resultados y la fecha en que se corrió. Incluir BVS y SciELO fue una decisión deliberada. La experiencia clínica con fagos publicada en Europa del Este e Iberoamérica está sistemáticamente subrepresentada en PubMed y Scopus, y dejarla fuera habría inclinado la revisión hacia la literatura anglosajona sin decirlo.</w:t>
      </w:r>
    </w:p>
    <w:p>
      <w:pPr>
        <w:pStyle w:val="Heading2"/>
      </w:pPr>
      <w:r>
        <w:t>2.4 Selección de los estudios</w:t>
      </w:r>
    </w:p>
    <w:p>
      <w:r>
        <w:t xml:space="preserve">La deduplicación cruzó DOI, PMID y NCT de forma transitiva mediante </w:t>
      </w:r>
      <w:r>
        <w:rPr>
          <w:i/>
        </w:rPr>
        <w:t>union-find</w:t>
      </w:r>
      <w:r>
        <w:t xml:space="preserve">. Los identificadores se leyeron </w:t>
      </w:r>
      <w:r>
        <w:rPr>
          <w:b/>
        </w:rPr>
        <w:t>solo</w:t>
      </w:r>
      <w: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r>
        <w:t xml:space="preserve">La selección se hizo en tres etapas. La </w:t>
      </w:r>
      <w:r>
        <w:rPr>
          <w:b/>
        </w:rPr>
        <w:t>etapa 1</w:t>
      </w:r>
      <w:r>
        <w:t xml:space="preserve"> aplicó reglas explícitas y auditables: sin título, tipo documental sin datos primarios, ámbito animal declarado en MeSH, y fago empleado como herramienta de laboratorio. La </w:t>
      </w:r>
      <w:r>
        <w:rPr>
          <w:b/>
        </w:rPr>
        <w:t>etapa 2</w:t>
      </w:r>
      <w:r>
        <w:t xml:space="preserve"> cribó títulos y la </w:t>
      </w:r>
      <w:r>
        <w:rPr>
          <w:b/>
        </w:rPr>
        <w:t>etapa 3</w:t>
      </w:r>
      <w:r>
        <w:t xml:space="preserve">, resúmenes. Ambas usaron un </w:t>
      </w:r>
      <w:r>
        <w:rPr>
          <w:b/>
        </w:rPr>
        <w:t>vocabulario cerrado de seis códigos</w:t>
      </w:r>
      <w:r>
        <w:t xml:space="preserve"> (ORG, REV, SEC, LAB, VET, OFF) fijado antes de empezar. Un motivo que no encaje en uno de los seis no recibe un séptimo código improvisado sobre la marcha: el registro avanza a la etapa siguiente en lugar de excluirse.</w:t>
      </w:r>
    </w:p>
    <w:p>
      <w:r>
        <w:rPr>
          <w:b/>
        </w:rPr>
        <w:t>Quién tomó cada decisión.</w:t>
      </w:r>
      <w:r>
        <w:t xml:space="preserve"> La etapa 1 es determinista: la ejecuta un script y cada exclusión nombra la regla que disparó, de modo que cualquiera puede reejecutarla y obtener el mismo resultado. Las etapas 2 y 3, que son las que exigen juicio, </w:t>
      </w:r>
      <w:r>
        <w:rPr>
          <w:b/>
        </w:rPr>
        <w:t>las realizó un modelo de lenguaje —Claude Opus 5, de Anthropic— actuando como revisor único y sin duplicación independiente</w:t>
      </w:r>
      <w:r>
        <w:t>:13 917 decisiones sobre títulos entre el 4 y el 10 de agosto de 2026 y 460 sobre resúmenes el 5 de agosto. El modelo recibió el título, el resumen y los metadatos de cada registro, y solo pudo elegir entre los seis códigos del vocabulario cerrado. Cada decisión quedó registrada con su motivo, el modelo que la emitió y su marca de tiempo, en un registro solo-anexar que se aporta íntegro (S3).</w:t>
      </w:r>
    </w:p>
    <w:p>
      <w:r>
        <w:rPr>
          <w:b/>
        </w:rPr>
        <w:t>Ningún revisor humano adjudicó decisiones de cribado individuales, y la concordancia entre el modelo y un lector humano no se midió.</w:t>
      </w:r>
      <w:r>
        <w:t xml:space="preserve"> Esa comprobación es la que un cribado por duplicado aporta y aquí no existe. Lo que sí existe, y es lo que sostiene la afirmación de que el cribado no perdió estudios elegibles, es la auditoría de control positivo de la sección 2.5: se comprobó tras cada etapa que ninguno de los 40 estudios conocidos de antemano perdiera todos sus informes. Una auditoría de controles positivos acota el falso negativo sobre estudios conocidos; no lo acota sobre los desconocidos, ni dice nada sobre el falso positivo. El lector debe calibrar la selección con esa salvedad, y la sección 4.4 la recoge como limitación.</w:t>
      </w:r>
    </w:p>
    <w:p>
      <w:r>
        <w:t>La extracción de datos, en cambio, la realizan los dos autores por duplicado e independiente, sin intervención del modelo (sección 2.6).</w:t>
      </w:r>
    </w:p>
    <w:p>
      <w:r>
        <w:t xml:space="preserve">Los registros de decisión son </w:t>
      </w:r>
      <w:r>
        <w:rPr>
          <w:b/>
        </w:rPr>
        <w:t>solo-anexar</w:t>
      </w:r>
      <w:r>
        <w:t>. Una corrección es una fila nueva que sustituye a la anterior; ambas permanecen. Esta revisión tuvo que corregir una exclusión errónea, y esa corrección solo es auditable porque la fila original sobrevivió.</w:t>
      </w:r>
    </w:p>
    <w:p>
      <w:pPr>
        <w:pStyle w:val="Heading2"/>
      </w:pPr>
      <w:r>
        <w:t>2.5 Auditoría de control positivo</w:t>
      </w:r>
    </w:p>
    <w:p>
      <w:r>
        <w:t xml:space="preserve">Antes de iniciar el cribado se fijó un conjunto de 40 estudios conocidos a priori como elegibles, identificados en una revisión exploratoria previa. Tras cada etapa se comprobó que </w:t>
      </w:r>
      <w:r>
        <w:rPr>
          <w:b/>
        </w:rPr>
        <w:t>ningún estudio de ese conjunto perdiera todos sus informes</w:t>
      </w:r>
      <w:r>
        <w:t>. La comprobación se hace a nivel de estudio y no de informe, porque excluir una fe de erratas o una ficha duplicada de un estudio incluido es legítimo, mientras que perder el estudio entero no lo es. La auditoría se superó en las tres etapas (40 de 40). En una ejecución intermedia detectó una regla de exclusión mal calibrada, que se corrigió antes de continuar.</w:t>
      </w:r>
    </w:p>
    <w:p>
      <w:pPr>
        <w:pStyle w:val="Heading2"/>
      </w:pPr>
      <w:r>
        <w:t>2.6 Extracción de datos</w:t>
      </w:r>
    </w:p>
    <w:p>
      <w:r>
        <w:t xml:space="preserve">El formulario de extracción, con 31 variables y vocabularios controlados, se piloteó sobre cinco estudios antes de su uso. La extracción está planificada </w:t>
      </w:r>
      <w:r>
        <w:rPr>
          <w:b/>
        </w:rPr>
        <w:t>por duplicado e independiente</w:t>
      </w:r>
      <w:r>
        <w:t xml:space="preserve"> entre los dos revisores, con resolución de discrepancias por consenso y cálculo de la concordancia (kappa de Cohen) variable a variable.</w:t>
      </w:r>
    </w:p>
    <w:p>
      <w:r>
        <w:rPr>
          <w:b/>
        </w:rPr>
        <w:t>Estado en el momento de este informe.</w:t>
      </w:r>
      <w:r>
        <w:t xml:space="preserve"> La extracción por duplicado está en curso y </w:t>
      </w:r>
      <w:r>
        <w:rPr>
          <w:b/>
        </w:rPr>
        <w:t>no ha concluido</w:t>
      </w:r>
      <w:r>
        <w:t xml:space="preserve">. Los datos que se reportan aquí proceden de una pre-extracción sistemática desde el resumen de los 124 estudios con publicación recuperable, realizada con el mismo esquema de variables y marcada de forma explícita como parcial en cada registro. En consecuencia, </w:t>
      </w:r>
      <w:r>
        <w:rPr>
          <w:b/>
        </w:rPr>
        <w:t>este informe no presenta estimaciones de eficacia</w:t>
      </w:r>
      <w:r>
        <w:t>: presenta la estructura del cuerpo de evidencia y su completitud de reporte, que es lo que la pre-extracción sí sostiene. Las variables de desenlace se reportarán cuando la extracción por duplicado concluya.</w:t>
      </w:r>
    </w:p>
    <w:p>
      <w:pPr>
        <w:pStyle w:val="Heading2"/>
      </w:pPr>
      <w:r>
        <w:t>2.7 Riesgo de sesgo y certeza</w:t>
      </w:r>
    </w:p>
    <w:p>
      <w:r>
        <w:t>Se preveía evaluar el riesgo de sesgo con RoB 2 para ensayos aleatorizados [@Sterne2019_rob2], ROBINS-I para estudios no aleatorizados [@Sterne2016_robinsi] y los dominios de Murad para reportes y series de casos [@Murad2018_casereports; @Munn2020_jbicaseseries], y la certeza con GRADE [@Guyatt2011_grade]. Estas evaluaciones dependen del texto completo y se reportarán con la extracción definitiva.</w:t>
      </w:r>
    </w:p>
    <w:p>
      <w:pPr>
        <w:pStyle w:val="Heading2"/>
      </w:pPr>
      <w:r>
        <w:t>2.8 Métodos de síntesis y reproducibilidad</w:t>
      </w:r>
    </w:p>
    <w:p>
      <w:r>
        <w:t>La viabilidad de un metaanálisis de proporciones se evaluó de forma explícita frente a los requisitos habituales de ese diseño [@Barker2021_proportionalma; @Migliavaca2022_i2prevalence]: denominadores interpretables, desenlace comparable entre estudios e intervención suficientemente homogénea. El resultado de esa evaluación se presenta en la sección 3.5.</w:t>
      </w:r>
    </w:p>
    <w:p>
      <w: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pStyle w:val="Heading2"/>
      </w:pPr>
      <w:r>
        <w:t>2.9 Enmienda al protocolo: criterio de idioma</w:t>
      </w:r>
    </w:p>
    <w:p>
      <w:r>
        <w:t>El 11 de agosto de 2026, con el cribado concluido y los 219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r>
        <w:t xml:space="preserve">Su efecto se midió antes de adoptarla, y no fue menor. Excluyó </w:t>
      </w:r>
      <w:r>
        <w:rPr>
          <w:b/>
        </w:rPr>
        <w:t>35 informes</w:t>
      </w:r>
      <w:r>
        <w:t xml:space="preserve"> y con ellos </w:t>
      </w:r>
      <w:r>
        <w:rPr>
          <w:b/>
        </w:rPr>
        <w:t>35 estudios completos</w:t>
      </w:r>
      <w:r>
        <w:t>, porque ninguno conservaba un informe en lengua admitida. El corpus pasó de 219 a 184 estudios y de 159 a 124 estudios con publicación recuperable. La pérdida no se repartió de forma uniforme: de los 41 diseños comparativos quedaron 23, y de los 21 ensayos aleatorizados, 16.</w:t>
      </w:r>
    </w:p>
    <w:p>
      <w:r>
        <w:t xml:space="preserve">La auditoría de controles positivos registró además una pérdida concreta. </w:t>
      </w:r>
      <w:r>
        <w:rPr>
          <w:b/>
        </w:rPr>
        <w:t>Ronit et al. (2024)</w:t>
      </w:r>
      <w:r>
        <w:t xml:space="preserve">, un caso de fagoterapia en prótesis vascular infectada por </w:t>
      </w:r>
      <w:r>
        <w:rPr>
          <w:i/>
        </w:rPr>
        <w:t>P. aeruginosa</w:t>
      </w:r>
      <w:r>
        <w:t xml:space="preserve"> publicado en danés en </w:t>
      </w:r>
      <w:r>
        <w:rPr>
          <w:i/>
        </w:rPr>
        <w:t>Ugeskrift for Læger</w:t>
      </w:r>
      <w:r>
        <w:t>, pertenecía al conjunto de 40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r>
        <w:t>Las cifras de la revisión sin la enmienda se conservan íntegras en el registro de decisiones, que es solo-anexar, de modo que cualquier lector puede reconstruir el corpus previo y comprobar el efecto por sí mismo.</w:t>
      </w:r>
    </w:p>
    <w:p>
      <w:pPr>
        <w:pStyle w:val="Heading1"/>
      </w:pPr>
      <w:r>
        <w:t>3. Resultados</w:t>
      </w:r>
    </w:p>
    <w:p>
      <w:pPr>
        <w:pStyle w:val="Heading2"/>
      </w:pPr>
      <w:r>
        <w:t>3.1 Selección de los estudios</w:t>
      </w:r>
    </w:p>
    <w:p>
      <w:r>
        <w:t xml:space="preserve">Las nueve fuentes aportaron </w:t>
      </w:r>
      <w:r>
        <w:rPr>
          <w:b/>
        </w:rPr>
        <w:t>23 057 registros</w:t>
      </w:r>
      <w:r>
        <w:t xml:space="preserve">, de los que se eliminaron 5 928 duplicados para dejar </w:t>
      </w:r>
      <w:r>
        <w:rPr>
          <w:b/>
        </w:rPr>
        <w:t>17 129 informes únicos</w:t>
      </w:r>
      <w:r>
        <w:t xml:space="preserve"> (Figura 1). Las reglas de etapa 1 excluyeron 3 235; de los 13 894 títulos cribados se excluyeron 13 434 y avanzaron 460 a lectura de resumen; de estos se excluyeron 227 y </w:t>
      </w:r>
      <w:r>
        <w:rPr>
          <w:b/>
        </w:rPr>
        <w:t>233 informes pasaron a texto completo</w:t>
      </w:r>
      <w:r>
        <w:t xml:space="preserve">. Al agrupar los informes por estudio, esos 233 corresponden a </w:t>
      </w:r>
      <w:r>
        <w:rPr>
          <w:b/>
        </w:rPr>
        <w:t>184 estudios</w:t>
      </w:r>
      <w:r>
        <w:t>: 154 con un solo informe y 30 con varios, hasta un máximo de once informes de un mismo ensayo.</w:t>
      </w:r>
    </w:p>
    <w:p>
      <w:r>
        <w:t xml:space="preserve">De los 184 estudios, </w:t>
      </w:r>
      <w:r>
        <w:rPr>
          <w:b/>
        </w:rPr>
        <w:t>124 tienen publicación recuperable</w:t>
      </w:r>
      <w:r>
        <w:t xml:space="preserve">: 121 artículos y 3 que solo existen como resumen de congreso. Los </w:t>
      </w:r>
      <w:r>
        <w:rPr>
          <w:b/>
        </w:rPr>
        <w:t>60 restantes son únicamente fichas de registro de ensayo</w:t>
      </w:r>
      <w:r>
        <w:t>, sin publicación asociada localizable. Esa cifra basta por sí sola para describir un campo en el que casi uno de cada tres estudios registrados no ha publicado resultados.</w:t>
      </w:r>
    </w:p>
    <w:p>
      <w:r>
        <w:t xml:space="preserve">Los motivos de exclusión por título fueron trabajo de laboratorio o preclínico (4 060), organismo distinto sin subgrupo separable (3 022), revisión o comentario sin datos primarios (2 803), no evalúa fagoterapia en pacientes (2 631), ámbito veterinario (834) y síntesis secundaria (84). En la lectura de resumen: organismo distinto (65), revisión o comentario (64), no evalúa fagoterapia (40), </w:t>
      </w:r>
      <w:r>
        <w:rPr>
          <w:b/>
        </w:rPr>
        <w:t>idioma no admitido (35)</w:t>
      </w:r>
      <w:r>
        <w:t>, laboratorio (18) y síntesis secundaria (5).</w:t>
      </w:r>
    </w:p>
    <w:p>
      <w:pPr>
        <w:pStyle w:val="Heading2"/>
      </w:pPr>
      <w:r>
        <w:t>3.2 Recuperación del texto completo y su sesgo</w:t>
      </w:r>
    </w:p>
    <w:p>
      <w:r>
        <w:t xml:space="preserve">Se obtuvo el texto completo de </w:t>
      </w:r>
      <w:r>
        <w:rPr>
          <w:b/>
        </w:rPr>
        <w:t>89 de los 124 estudios recuperables (71,8 %)</w:t>
      </w:r>
      <w:r>
        <w:t xml:space="preserve"> por vías de acceso abierto legítimas. Los 35 restantes requieren préstamo interbibliotecario, acceso institucional o solicitud a los autores.</w:t>
      </w:r>
    </w:p>
    <w:p>
      <w:r>
        <w:t xml:space="preserve">La fracción no obtenida </w:t>
      </w:r>
      <w:r>
        <w:rPr>
          <w:b/>
        </w:rPr>
        <w:t>no es una muestra aleatoria del conjunto</w:t>
      </w:r>
      <w:r>
        <w:t xml:space="preserve"> (Tabla 3). Contiene 11 de los 23 estudios comparativos, el </w:t>
      </w:r>
      <w:r>
        <w:rPr>
          <w:b/>
        </w:rPr>
        <w:t>47,8 %</w:t>
      </w:r>
      <w:r>
        <w:t>, y, aunque declara menos pacientes en total, concentra los diseños que sostienen una comparación. De los cuatro ensayos aleatorizados de referencia del campo [@Jault2019_phagoburn; @Leitner2021_lancetid_pyophage; @NirPaz2025_med_tp102; @Chan2023_jcf_cyphy], dos siguen sin leerse: el de fagos intravesicales y el de TP-102. De PhagoBurn se obtuvo el artículo. Del ensayo de Yale no existe artículo completo publicado, sino un resumen de congreso y los resultados depositados en el registro; lo que se obtuvo es el protocolo del ensayo, que documenta el diseño pero no los desenlaces.</w:t>
      </w:r>
    </w:p>
    <w:p>
      <w:r>
        <w:t>La asimetría es en sí misma un resultado. La accesibilidad del texto completo covaría con la región de publicación y con el diseño del estudio, y se suma a la restricción de idioma en la misma dirección: ambas empujan el corpus hacia la literatura anglosajona de acceso abierto. Una revisión que no declare ninguna de las dos transforma la pregunta sin decirlo.</w:t>
      </w:r>
    </w:p>
    <w:p>
      <w:pPr>
        <w:pStyle w:val="Heading2"/>
      </w:pPr>
      <w:r>
        <w:t>3.3 Características del cuerpo de evidencia</w:t>
      </w:r>
    </w:p>
    <w:p>
      <w:r>
        <w:t xml:space="preserve">Los 124 estudios recuperables se publicaron entre </w:t>
      </w:r>
      <w:r>
        <w:rPr>
          <w:b/>
        </w:rPr>
        <w:t>2016 y 2026</w:t>
      </w:r>
      <w:r>
        <w:t xml:space="preserve">, y el </w:t>
      </w:r>
      <w:r>
        <w:rPr>
          <w:b/>
        </w:rPr>
        <w:t>83,1 %</w:t>
      </w:r>
      <w:r>
        <w:t xml:space="preserve"> desde 2020. Es un cuerpo de evidencia joven y en expansión rápida (Tabla 1).</w:t>
      </w:r>
    </w:p>
    <w:p>
      <w:r>
        <w:t xml:space="preserve">Su composición por diseño es la que cabe esperar de una literatura de rescate, no la que una síntesis de eficacia necesita: </w:t>
      </w:r>
      <w:r>
        <w:rPr>
          <w:b/>
        </w:rPr>
        <w:t>49 reportes de caso único (39,5 %)</w:t>
      </w:r>
      <w:r>
        <w:t xml:space="preserve">, 19 series de casos, 16 ensayos aleatorizados, 13 cohortes prospectivas, 7 ensayos no aleatorizados y 4 cohortes retrospectivas. Otros 16 no declaran su diseño de forma reconocible en el resumen. Los comparativos suman </w:t>
      </w:r>
      <w:r>
        <w:rPr>
          <w:b/>
        </w:rPr>
        <w:t>23 estudios, el 18,5 %</w:t>
      </w:r>
      <w:r>
        <w:t xml:space="preserve"> del total, y son los únicos capaces de sostener una afirmación de eficacia relativa.</w:t>
      </w:r>
    </w:p>
    <w:p>
      <w:r>
        <w:t>La procedencia geográfica, cuando consta, se reparte entre Rusia (7 estudios), Polonia y Georgia (6 cada una), Alemania (4), Francia y Estados Unidos (3 cada una), e India, Irán e Israel (2 cada una). No consta en 76 estudios. La caída de la representación rusa respecto del corpus previo a la enmienda —de 34 estudios a 7— es efecto directo del criterio de idioma y no de la búsqueda.</w:t>
      </w:r>
    </w:p>
    <w:p>
      <w:pPr>
        <w:pStyle w:val="Heading2"/>
      </w:pPr>
      <w:r>
        <w:t>3.4 Lo que el cuerpo de evidencia no declara</w:t>
      </w:r>
    </w:p>
    <w:p>
      <w:r>
        <w:t>La completitud de reporte, medida sobre lo que los resúmenes hacen explícito, es baja precisamente en las variables de las que depende cualquier estratificación (Tabla 2):</w:t>
      </w:r>
    </w:p>
    <w:p>
      <w:pPr>
        <w:pStyle w:val="ListBullet"/>
      </w:pPr>
      <w:r>
        <w:t xml:space="preserve">La </w:t>
      </w:r>
      <w:r>
        <w:rPr>
          <w:b/>
        </w:rPr>
        <w:t>clase de resistencia</w:t>
      </w:r>
      <w:r>
        <w:t xml:space="preserve"> (MDR, XDR o PDR) no consta en el </w:t>
      </w:r>
      <w:r>
        <w:rPr>
          <w:b/>
        </w:rPr>
        <w:t>70,2 %</w:t>
      </w:r>
      <w:r>
        <w:t xml:space="preserve"> de los estudios.</w:t>
      </w:r>
    </w:p>
    <w:p>
      <w:pPr>
        <w:pStyle w:val="ListBullet"/>
      </w:pPr>
      <w:r>
        <w:t xml:space="preserve">La </w:t>
      </w:r>
      <w:r>
        <w:rPr>
          <w:b/>
        </w:rPr>
        <w:t>vía de administración</w:t>
      </w:r>
      <w:r>
        <w:t xml:space="preserve"> no consta en el </w:t>
      </w:r>
      <w:r>
        <w:rPr>
          <w:b/>
        </w:rPr>
        <w:t>57,3 %</w:t>
      </w:r>
      <w:r>
        <w:t>.</w:t>
      </w:r>
    </w:p>
    <w:p>
      <w:pPr>
        <w:pStyle w:val="ListBullet"/>
      </w:pPr>
      <w:r>
        <w:t xml:space="preserve">El </w:t>
      </w:r>
      <w:r>
        <w:rPr>
          <w:b/>
        </w:rPr>
        <w:t>ámbito de patógeno</w:t>
      </w:r>
      <w:r>
        <w:t xml:space="preserve">, esto es, si el estudio trata solo </w:t>
      </w:r>
      <w:r>
        <w:rPr>
          <w:i/>
        </w:rPr>
        <w:t>P. aeruginosa</w:t>
      </w:r>
      <w:r>
        <w:t xml:space="preserve"> o es mixto con subgrupo separable, no consta en el </w:t>
      </w:r>
      <w:r>
        <w:rPr>
          <w:b/>
        </w:rPr>
        <w:t>52,4 %</w:t>
      </w:r>
      <w:r>
        <w:t>.</w:t>
      </w:r>
    </w:p>
    <w:p>
      <w:pPr>
        <w:pStyle w:val="ListBullet"/>
      </w:pPr>
      <w:r>
        <w:t xml:space="preserve">El cumplimiento del criterio </w:t>
      </w:r>
      <w:r>
        <w:rPr>
          <w:b/>
        </w:rPr>
        <w:t>DTR</w:t>
      </w:r>
      <w:r>
        <w:t xml:space="preserve"> (</w:t>
      </w:r>
      <w:r>
        <w:rPr>
          <w:i/>
        </w:rPr>
        <w:t>difficult-to-treat resistance</w:t>
      </w:r>
      <w:r>
        <w:t xml:space="preserve">) no consta en el </w:t>
      </w:r>
      <w:r>
        <w:rPr>
          <w:b/>
        </w:rPr>
        <w:t>98,4 %</w:t>
      </w:r>
      <w:r>
        <w:t>.</w:t>
      </w:r>
    </w:p>
    <w:p>
      <w:r>
        <w:t>Estas cifras describen el reporte en el resumen, no forzosamente en el artículo completo, y la distinción importa porque parte de la información puede estar en el texto. Ahora bien, el resumen es lo que indexan las bases y lo que alimenta las revisiones automatizadas. Que tres de cada cuatro estudios no declaren allí su categoría de resistencia implica que ninguna estratificación por MDR/XDR/PDR construida a partir de resúmenes puede ser correcta.</w:t>
      </w:r>
    </w:p>
    <w:p>
      <w:pPr>
        <w:pStyle w:val="Heading2"/>
      </w:pPr>
      <w:r>
        <w:t>3.5 Viabilidad de la síntesis cuantitativa</w:t>
      </w:r>
    </w:p>
    <w:p>
      <w:r>
        <w:t>Un metaanálisis de proporciones exige denominadores interpretables, un desenlace que nombre lo mismo en todos los estudios y una intervención suficientemente homogénea. El cuerpo delimitado aquí falla en los tres requisitos.</w:t>
      </w:r>
    </w:p>
    <w:p>
      <w:r>
        <w:rPr>
          <w:b/>
        </w:rPr>
        <w:t>Denominadores.</w:t>
      </w:r>
      <w:r>
        <w:t xml:space="preserve"> Casi cuatro de cada diez estudios son casos únicos, en los que la proporción de éxito solo puede tomar los valores 0 o 1 y su varianza binomial es máxima. Agregar cuarenta y nueve denominadores de uno con unas pocas decenas de series mayores produce una media ponderada cuyo peso lo determina el tamaño de la serie y no la calidad de la evidencia.</w:t>
      </w:r>
    </w:p>
    <w:p>
      <w:r>
        <w:rPr>
          <w:b/>
        </w:rPr>
        <w:t>Desenlace.</w:t>
      </w:r>
      <w:r>
        <w:t xml:space="preserve"> «Éxito clínico» abarca en esta literatura desde la resolución de una fístula a dos años hasta la ausencia de fiebre a los tres días. Sin una definición común, la proporción agrupada suma numeradores que no cuentan lo mismo.</w:t>
      </w:r>
    </w:p>
    <w:p>
      <w:r>
        <w:rPr>
          <w:b/>
        </w:rPr>
        <w:t>Intervención.</w:t>
      </w:r>
      <w: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r>
        <w:t xml:space="preserve">A ello se añade el sesgo de recuperación documentado en la sección 3.2, que en el estado actual excluiría de la síntesis a dos tercios de los estudios comparativos. </w:t>
      </w:r>
      <w:r>
        <w:rPr>
          <w:b/>
        </w:rPr>
        <w:t>Por estas razones no se presenta ninguna proporción agrupada de eficacia</w:t>
      </w:r>
      <w:r>
        <w:t>, y se sostiene que las publicadas en revisiones previas descansan sobre supuestos que estos datos no verifican.</w:t>
      </w:r>
    </w:p>
    <w:p>
      <w:pPr>
        <w:pStyle w:val="Heading1"/>
      </w:pPr>
      <w:r>
        <w:t>4. Discusión</w:t>
      </w:r>
    </w:p>
    <w:p>
      <w:pPr>
        <w:pStyle w:val="Heading2"/>
      </w:pPr>
      <w:r>
        <w:t>4.1 Hallazgos principales</w:t>
      </w:r>
    </w:p>
    <w:p>
      <w:r>
        <w:t xml:space="preserve">Esta revisión delimita el cuerpo de evidencia clínica sobre fagoterapia en </w:t>
      </w:r>
      <w:r>
        <w:rPr>
          <w:i/>
        </w:rPr>
        <w:t>P. aeruginosa</w:t>
      </w:r>
      <w:r>
        <w:t xml:space="preserve"> resistente con más amplitud que las síntesis previas: nueve fuentes, sin restricción de idioma, con literatura regional y registros de ensayos incluidos. El resultado son 184 estudios frente a las decenas que manejan las revisiones publicadas, y habrían sido 219 sin la restricción de idioma que se adoptó al final. Ese aumento no habla bien de la madurez del campo. La mayor parte procede de reportes de caso, de fichas de registro sin publicación y de literatura regional que las búsquedas restringidas a PubMed y Scopus no alcanzan.</w:t>
      </w:r>
    </w:p>
    <w:p>
      <w:r>
        <w:t xml:space="preserve">El resultado central es negativo y conviene enunciarlo sin rodeos: </w:t>
      </w:r>
      <w:r>
        <w:rPr>
          <w:b/>
        </w:rPr>
        <w:t>la amplitud del cuerpo de evidencia no se traduce en capacidad de síntesis</w:t>
      </w:r>
      <w:r>
        <w:t>. Casi cuatro de cada diez estudios recuperables son un caso único. Menos de uno de cada cinco es comparativo. Siete de cada diez no declaran la categoría de resistencia con la que se pretende estratificar. Y casi uno de cada tres estudios identificados existe únicamente como registro, sin resultados publicados.</w:t>
      </w:r>
    </w:p>
    <w:p>
      <w:pPr>
        <w:pStyle w:val="Heading2"/>
      </w:pPr>
      <w:r>
        <w:t>4.2 Comparación con la literatura previa</w:t>
      </w:r>
    </w:p>
    <w:p>
      <w:r>
        <w:t>Las revisiones recientes han reportado proporciones globales de éxito clínico que superan sistemáticamente el 80 % [@Uyttebroek2022_lancetid; @Liu2025_ijaa; @Krakhotkin2025_currurol].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w:t>
      </w:r>
    </w:p>
    <w:p>
      <w:pPr>
        <w:pStyle w:val="Heading2"/>
      </w:pPr>
      <w:r>
        <w:t>4.3 Implicaciones</w:t>
      </w:r>
    </w:p>
    <w:p>
      <w:r>
        <w:rPr>
          <w:b/>
        </w:rPr>
        <w:t>Para la práctica clínica.</w:t>
      </w:r>
      <w:r>
        <w:t xml:space="preserve"> Ninguna proporción publicada de éxito de la fagoterapia en </w:t>
      </w:r>
      <w:r>
        <w:rPr>
          <w:i/>
        </w:rPr>
        <w:t>P. aeruginosa</w:t>
      </w:r>
      <w: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r>
        <w:rPr>
          <w:b/>
        </w:rPr>
        <w:t>Para la investigación.</w:t>
      </w:r>
      <w: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r>
        <w:rPr>
          <w:b/>
        </w:rPr>
        <w:t>Para los registros.</w:t>
      </w:r>
      <w:r>
        <w:t xml:space="preserve"> Que 60 de 184 estudios sean fichas de registro sin publicación localizable es un problema de sesgo de publicación de primer orden, y no se resuelve con métodos estadísticos.</w:t>
      </w:r>
    </w:p>
    <w:p>
      <w:pPr>
        <w:pStyle w:val="Heading2"/>
      </w:pPr>
      <w:r>
        <w:t>4.4 Fortalezas y limitaciones</w:t>
      </w:r>
    </w:p>
    <w:p>
      <w:r>
        <w:rPr>
          <w:b/>
        </w:rPr>
        <w:t>Fortalezas.</w:t>
      </w:r>
      <w:r>
        <w:t xml:space="preserve"> La búsqueda abarcó nueve fuentes en dos corrientes separadas, sin restringir el idioma. La selección usó un vocabulario cerrado fijado de antemano y se auditó contra un conjunto de controles positivos definido antes de empezar, lo que permite afirmar, y no solo confiar, que el cribado no perdió estudios elegibles conocidos. Todo el canal es código reejecutable con claves derivadas del contenido, y una comprobación automática cuadra cada eslabón con el siguiente.</w:t>
      </w:r>
    </w:p>
    <w:p>
      <w:r>
        <w:rPr>
          <w:b/>
        </w:rPr>
        <w:t>Limitaciones.</w:t>
      </w:r>
      <w:r>
        <w:t xml:space="preserve"> Son cinco y todas materiales. </w:t>
      </w:r>
      <w:r>
        <w:rPr>
          <w:b/>
        </w:rPr>
        <w:t>Primera:</w:t>
      </w:r>
      <w:r>
        <w:t xml:space="preserve"> la revisión no está registrada prospectivamente. </w:t>
      </w:r>
      <w:r>
        <w:rPr>
          <w:b/>
        </w:rPr>
        <w:t>Segunda:</w:t>
      </w:r>
      <w:r>
        <w:t xml:space="preserve"> la extracción por duplicado no ha concluido, de modo que este informe no presenta desenlaces, ni riesgo de sesgo, ni certeza GRADE. Es una caracterización del cuerpo de evidencia, no una síntesis de sus resultados. </w:t>
      </w:r>
      <w:r>
        <w:rPr>
          <w:b/>
        </w:rPr>
        <w:t>Tercera:</w:t>
      </w:r>
      <w:r>
        <w:t xml:space="preserve"> el texto completo se obtuvo para el 71,8 % de los estudios recuperables, y la fracción faltante está enriquecida en diseños comparativos, de manera que lo descrito aquí subrepresenta la parte comparativa del campo. </w:t>
      </w:r>
      <w:r>
        <w:rPr>
          <w:b/>
        </w:rPr>
        <w:t>Cuarta:</w:t>
      </w:r>
      <w:r>
        <w:t xml:space="preserve"> el cribado de títulos y resúmenes lo emitió un modelo de lenguaje como revisor único, sin duplicación independiente y sin que ningún revisor humano adjudicara decisiones individuales (sección 2.4). La concordancia entre el modelo y un lector humano no se midió, de modo que no puede cuantificarse cuántos estudios elegibles se perdieron ni cuántos no elegibles avanzaron. La auditoría de controles positivos acota lo primero solo sobre los 40 estudios conocidos de antemano. Es la limitación más seria de esta revisión y afecta a la delimitación del corpus, no solo a su descripción; la extracción de datos sí se realiza por duplicado y a mano. </w:t>
      </w:r>
      <w:r>
        <w:rPr>
          <w:b/>
        </w:rPr>
        <w:t>Quinta:</w:t>
      </w:r>
      <w:r>
        <w:t xml:space="preserve"> la restricción a inglés y español se adoptó cuando el cribado ya había terminado, y eliminó 35 estudios, 18 de ellos comparativos y uno perteneciente al conjunto de control positivo. Empuja el corpus en la misma dirección que el sesgo de recuperación y reduce lo que esta revisión puede decir sobre la literatura de Europa del Este, que es donde se concentran los diseños con comparador.</w:t>
      </w:r>
    </w:p>
    <w:p>
      <w:pPr>
        <w:pStyle w:val="Heading1"/>
      </w:pPr>
      <w:r>
        <w:t>5. Conclusiones</w:t>
      </w:r>
    </w:p>
    <w:p>
      <w:r>
        <w:t xml:space="preserve">El cuerpo de evidencia clínica sobre fagoterapia en </w:t>
      </w:r>
      <w:r>
        <w:rPr>
          <w:i/>
        </w:rPr>
        <w:t>P. aeruginosa</w:t>
      </w:r>
      <w: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pStyle w:val="Heading1"/>
      </w:pPr>
      <w:r>
        <w:t>Declaraciones</w:t>
      </w:r>
    </w:p>
    <w:p>
      <w:r>
        <w:rPr>
          <w:b/>
        </w:rPr>
        <w:t>Financiación.</w:t>
      </w:r>
      <w:r>
        <w:t xml:space="preserve"> Esta revisión no recibió financiación específica de agencias públicas, comerciales o sin ánimo de lucro.</w:t>
      </w:r>
    </w:p>
    <w:p>
      <w:r>
        <w:rPr>
          <w:b/>
        </w:rPr>
        <w:t>Conflictos de interés.</w:t>
      </w:r>
      <w:r>
        <w:t xml:space="preserve"> Los autores declaran no tener conflictos de interés.</w:t>
      </w:r>
    </w:p>
    <w:p>
      <w:r>
        <w:rPr>
          <w:b/>
        </w:rPr>
        <w:t>Contribución de los autores.</w:t>
      </w:r>
      <w:r>
        <w:t xml:space="preserve"> [Pendiente de completar conforme a CRediT antes del envío.]</w:t>
      </w:r>
    </w:p>
    <w:p>
      <w:r>
        <w:rPr>
          <w:b/>
        </w:rPr>
        <w:t>Disponibilidad de datos y código.</w:t>
      </w:r>
      <w:r>
        <w:t xml:space="preserve"> El corpus de cribado, los registros de decisión completos, el formulario de extracción y todo el código del canal están disponibles en el repositorio del proyecto. Los registros de decisión son solo-anexar y conservan cada corrección.</w:t>
      </w:r>
    </w:p>
    <w:p>
      <w:r>
        <w:rPr>
          <w:b/>
        </w:rPr>
        <w:t>Uso de inteligencia artificial.</w:t>
      </w:r>
      <w:r>
        <w:t xml:space="preserve"> Se empleó un modelo de lenguaje generativo (Claude Opus 5, Anthropic) en cuatro tareas, y conviene distinguirlas porque no comprometen al trabajo por igual.</w:t>
      </w:r>
    </w:p>
    <w:p>
      <w:r>
        <w:rPr>
          <w:i/>
        </w:rPr>
        <w:t>Emitiendo juicios que determinan el corpus:</w:t>
      </w:r>
      <w:r>
        <w:t xml:space="preserve"> el modelo cribó títulos y resúmenes como </w:t>
      </w:r>
      <w:r>
        <w:rPr>
          <w:b/>
        </w:rPr>
        <w:t>revisor único y sin duplicación independiente</w:t>
      </w:r>
      <w:r>
        <w:t xml:space="preserve"> —13 917 decisiones de título y 460 de resumen— y realizó la pre-extracción desde resúmenes. Estas decisiones </w:t>
      </w:r>
      <w:r>
        <w:rPr>
          <w:b/>
        </w:rPr>
        <w:t>no fueron adjudicadas individualmente por un revisor humano</w:t>
      </w:r>
      <w:r>
        <w:t>. Están registradas una a una, con su motivo, el modelo y su marca de tiempo, y se aportan íntegras (S3, S4). El detalle y sus consecuencias figuran en las secciones 2.4 y 4.4.</w:t>
      </w:r>
    </w:p>
    <w:p>
      <w:r>
        <w:rPr>
          <w:i/>
        </w:rPr>
        <w:t>Sin emitir juicios:</w:t>
      </w:r>
      <w:r>
        <w:t xml:space="preserve"> asistencia en la programación del canal y en la redacción de borradores.</w:t>
      </w:r>
    </w:p>
    <w:p>
      <w:r>
        <w:t>Los autores diseñaron la revisión, fijaron los criterios y el vocabulario de exclusión antes de empezar, realizan la extracción de datos por duplicado sin intervención del modelo, y asumen la responsabilidad íntegra por la exactitud e integridad del trabajo. Ninguna herramienta de IA figura como autora, conforme a las recomendaciones del ICMJE.</w:t>
      </w:r>
    </w:p>
    <w:p>
      <w:r>
        <w:rPr>
          <w:b/>
        </w:rPr>
        <w:t>Agradecimientos.</w:t>
      </w:r>
      <w:r>
        <w:t xml:space="preserve"> [Pendiente.]</w:t>
      </w:r>
    </w:p>
    <w:p>
      <w:pPr>
        <w:pStyle w:val="Heading1"/>
      </w:pPr>
      <w:r>
        <w:t>Tablas y figuras</w:t>
      </w:r>
    </w:p>
    <w:p>
      <w:r>
        <w:t>Las cuatro tablas se aportan como archivos independientes (`paper/tablas/`), cada una con su nota al pie. Las dos figuras se aportan en PDF vectorial (`paper/figuras/`).</w:t>
      </w:r>
    </w:p>
    <w:p>
      <w:r>
        <w:rPr>
          <w:b/>
        </w:rPr>
        <w:t>Tabla 1.</w:t>
      </w:r>
      <w:r>
        <w:t xml:space="preserve"> Características del cuerpo de evidencia recuperable (n = 124 estudios).</w:t>
      </w:r>
    </w:p>
    <w:p>
      <w:r>
        <w:rPr>
          <w:b/>
        </w:rPr>
        <w:t>Tabla 2.</w:t>
      </w:r>
      <w:r>
        <w:t xml:space="preserve"> Completitud del reporte en las variables críticas para la estratificación.</w:t>
      </w:r>
    </w:p>
    <w:p>
      <w:r>
        <w:rPr>
          <w:b/>
        </w:rPr>
        <w:t>Tabla 3.</w:t>
      </w:r>
      <w:r>
        <w:t xml:space="preserve"> Comparación entre los estudios con y sin texto completo obtenido.</w:t>
      </w:r>
    </w:p>
    <w:p>
      <w:r>
        <w:rPr>
          <w:b/>
        </w:rPr>
        <w:t>Tabla 4.</w:t>
      </w:r>
      <w:r>
        <w:t xml:space="preserve"> Motivos de exclusión por etapa, con el vocabulario cerrado.</w:t>
      </w:r>
    </w:p>
    <w:p>
      <w:r>
        <w:rPr>
          <w:b/>
        </w:rPr>
        <w:t>Figura 1. Diagrama de flujo PRISMA 2020.</w:t>
      </w:r>
    </w:p>
    <w:p>
      <w:r>
        <w:rPr>
          <w:i/>
        </w:rPr>
        <w:t>Qué muestra.</w:t>
      </w:r>
      <w:r>
        <w:t xml:space="preserve"> El paso de los registros identificados a los estudios incluidos, con las dos corrientes de identificación —bases bibliográficas y registros de ensayos— contabilizadas por separado, como exige la declaración PRISMA 2020. </w:t>
      </w:r>
      <w:r>
        <w:rPr>
          <w:i/>
        </w:rPr>
        <w:t>Cómo leerla.</w:t>
      </w:r>
      <w: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de la derecha no forma parte del flujo de selección: informa de cuántos de los estudios incluidos se han podido leer a texto completo hasta la fecha. </w:t>
      </w:r>
      <w:r>
        <w:rPr>
          <w:i/>
        </w:rPr>
        <w:t>Fuente.</w:t>
      </w:r>
      <w:r>
        <w:t xml:space="preserve"> Canal de cribado del proyecto; última ejecución de la búsqueda, 10 de agosto de 2026.</w:t>
      </w:r>
    </w:p>
    <w:p>
      <w:r>
        <w:rPr>
          <w:b/>
        </w:rPr>
        <w:t>Figura 2. Composición del cuerpo de evidencia recuperable (n = 124 estudios).</w:t>
      </w:r>
    </w:p>
    <w:p>
      <w:r>
        <w:rPr>
          <w:i/>
        </w:rPr>
        <w:t>Qué muestra.</w:t>
      </w:r>
      <w:r>
        <w:t xml:space="preserve"> El Panel A ordena los estudios por diseño; el Panel B los distribuye por año de publicación, separando en cada año los diseños comparativos del resto. </w:t>
      </w:r>
      <w:r>
        <w:rPr>
          <w:i/>
        </w:rPr>
        <w:t>Cómo leerla.</w:t>
      </w:r>
      <w: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i/>
        </w:rPr>
        <w:t>Fuente.</w:t>
      </w:r>
      <w:r>
        <w:t xml:space="preserve"> Pre-extracción sistemática desde el resumen de los 124 estudios con publicación recuperable.</w:t>
      </w:r>
    </w:p>
    <w:p>
      <w:pPr>
        <w:pStyle w:val="Heading1"/>
      </w:pPr>
      <w:r>
        <w:t>Material suplementario</w:t>
      </w:r>
    </w:p>
    <w:p>
      <w:pPr>
        <w:pStyle w:val="ListBullet"/>
      </w:pPr>
      <w:r>
        <w:t>S1. Lista de comprobación PRISMA 2020.</w:t>
      </w:r>
    </w:p>
    <w:p>
      <w:pPr>
        <w:pStyle w:val="ListBullet"/>
      </w:pPr>
      <w:r>
        <w:t>S2. Ecuaciones de búsqueda literales por base, con fecha y número de resultados.</w:t>
      </w:r>
    </w:p>
    <w:p>
      <w:pPr>
        <w:pStyle w:val="ListBullet"/>
      </w:pPr>
      <w:r>
        <w:t>S3. Registro completo de decisiones de cribado (etapas 1 a 3).</w:t>
      </w:r>
    </w:p>
    <w:p>
      <w:pPr>
        <w:pStyle w:val="ListBullet"/>
      </w:pPr>
      <w:r>
        <w:t>S4. Formulario de extracción y libro de códigos.</w:t>
      </w:r>
    </w:p>
    <w:p>
      <w:pPr>
        <w:pStyle w:val="ListBullet"/>
      </w:pPr>
      <w:r>
        <w:t>S5. Listado de los 219 estudios con su situación y sus informes.</w:t>
      </w:r>
    </w:p>
    <w:p>
      <w:pPr>
        <w:pStyle w:val="ListBullet"/>
      </w:pPr>
      <w:r>
        <w:t>S6. Auditoría de controles positivos.</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