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7 514.</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183 estudios y, al leer los textos completos, </w:t>
      </w:r>
      <w:r>
        <w:rPr>
          <w:rFonts w:ascii="Times New Roman" w:hAnsi="Times New Roman"/>
          <w:b w:val="0"/>
          <w:i/>
          <w:sz w:val="22"/>
        </w:rPr>
        <w:t>46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137</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12 de los 15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90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137 a 113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46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137 estudios</w:t>
      </w:r>
      <w:r>
        <w:rPr>
          <w:rFonts w:ascii="Times New Roman" w:hAnsi="Times New Roman"/>
          <w:b w:val="0"/>
          <w:i w:val="0"/>
          <w:sz w:val="22"/>
        </w:rPr>
        <w:t>, que agrupan 171 informes: 115 con un solo informe y 22 con varios, hasta un máximo de once informes de un mismo ensayo.</w:t>
      </w:r>
    </w:p>
    <w:p>
      <w:pPr>
        <w:spacing w:before="200" w:after="100"/>
      </w:pPr>
      <w:r>
        <w:rPr>
          <w:rFonts w:ascii="Times New Roman" w:hAnsi="Times New Roman"/>
          <w:b/>
          <w:i w:val="0"/>
          <w:sz w:val="22"/>
        </w:rPr>
        <w:t>3.1.1 Los 46 estudios que el cribado admitió y que salieron después</w:t>
      </w:r>
    </w:p>
    <w:p>
      <w:pPr>
        <w:jc w:val="both"/>
      </w:pPr>
      <w:r>
        <w:rPr>
          <w:rFonts w:ascii="Times New Roman" w:hAnsi="Times New Roman"/>
          <w:b w:val="0"/>
          <w:i/>
          <w:sz w:val="22"/>
        </w:rPr>
        <w:t>Veintinueve salieron al juzgarlos sobre su publicación.</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Veinticuatro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val="0"/>
          <w:i/>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val="0"/>
          <w:i/>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29 anteriores se juzgaron sobre el artículo; estos no tienen artículo.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se quedan.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De los 137 estudios, </w:t>
      </w:r>
      <w:r>
        <w:rPr>
          <w:rFonts w:ascii="Times New Roman" w:hAnsi="Times New Roman"/>
          <w:b w:val="0"/>
          <w:i/>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val="0"/>
          <w:i/>
          <w:sz w:val="22"/>
        </w:rPr>
        <w:t>42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val="0"/>
          <w:i/>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val="0"/>
          <w:i/>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val="0"/>
          <w:i/>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103 brazos no puede clasificarse —12 en que los dos revisores acordaron «NA» y 7 que siguen abiertos—, de modo que los recuentos por diseño son suelos sobre los 84 restantes. De esos 91, </w:t>
      </w:r>
      <w:r>
        <w:rPr>
          <w:rFonts w:ascii="Times New Roman" w:hAnsi="Times New Roman"/>
          <w:b w:val="0"/>
          <w:i/>
          <w:sz w:val="22"/>
        </w:rPr>
        <w:t>8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18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9 estudios evaluados con ROBINS-I, el juicio global es de riesgo moderado en 2 y de riesgo grave en 7. El dominio que más juicios desfavorables concentra en ROBINS-I —alto riesgo en RoB 2; grave o crítico en ROBINS-I— es «sesgo por confusión», con 7 de 9. Los 90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12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137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b/>
                <w:i w:val="0"/>
                <w:sz w:val="18"/>
              </w:rPr>
              <w:t>Variable</w:t>
            </w:r>
          </w:p>
        </w:tc>
        <w:tc>
          <w:tcPr>
            <w:tcW w:type="dxa" w:w="1504"/>
          </w:tcPr>
          <w:p>
            <w:r/>
            <w:r>
              <w:rPr>
                <w:rFonts w:ascii="Times New Roman" w:hAnsi="Times New Roman"/>
                <w:b/>
                <w:i w:val="0"/>
                <w:sz w:val="18"/>
              </w:rPr>
              <w:t>No asignable en el resumen</w:t>
            </w:r>
          </w:p>
        </w:tc>
        <w:tc>
          <w:tcPr>
            <w:tcW w:type="dxa" w:w="1504"/>
          </w:tcPr>
          <w:p>
            <w:r/>
            <w:r>
              <w:rPr>
                <w:rFonts w:ascii="Times New Roman" w:hAnsi="Times New Roman"/>
                <w:b/>
                <w:i w:val="0"/>
                <w:sz w:val="18"/>
              </w:rPr>
              <w:t>Declarado en el texto completo</w:t>
            </w:r>
          </w:p>
        </w:tc>
        <w:tc>
          <w:tcPr>
            <w:tcW w:type="dxa" w:w="1504"/>
          </w:tcPr>
          <w:p>
            <w:r/>
            <w:r>
              <w:rPr>
                <w:rFonts w:ascii="Times New Roman" w:hAnsi="Times New Roman"/>
                <w:b/>
                <w:i w:val="0"/>
                <w:sz w:val="18"/>
              </w:rPr>
              <w:t>Declarado pero no clasificable</w:t>
            </w:r>
          </w:p>
        </w:tc>
        <w:tc>
          <w:tcPr>
            <w:tcW w:type="dxa" w:w="1504"/>
          </w:tcPr>
          <w:p>
            <w:r/>
            <w:r>
              <w:rPr>
                <w:rFonts w:ascii="Times New Roman" w:hAnsi="Times New Roman"/>
                <w:b/>
                <w:i w:val="0"/>
                <w:sz w:val="18"/>
              </w:rPr>
              <w:t>No declarado en el texto completo</w:t>
            </w:r>
          </w:p>
        </w:tc>
        <w:tc>
          <w:tcPr>
            <w:tcW w:type="dxa" w:w="1504"/>
          </w:tcPr>
          <w:p>
            <w:r/>
            <w:r>
              <w:rPr>
                <w:rFonts w:ascii="Times New Roman" w:hAnsi="Times New Roman"/>
                <w:b/>
                <w:i w:val="0"/>
                <w:sz w:val="18"/>
              </w:rPr>
              <w:t>Texto completo no recuperado</w:t>
            </w:r>
          </w:p>
        </w:tc>
      </w:tr>
      <w:tr>
        <w:tc>
          <w:tcPr>
            <w:tcW w:type="dxa" w:w="1504"/>
          </w:tcPr>
          <w:p>
            <w:r/>
            <w:r>
              <w:rPr>
                <w:rFonts w:ascii="Times New Roman" w:hAnsi="Times New Roman"/>
                <w:b w:val="0"/>
                <w:i w:val="0"/>
                <w:sz w:val="18"/>
              </w:rPr>
              <w:t>Clase de resistencia (MDR/XDR/PDR)</w:t>
            </w:r>
          </w:p>
        </w:tc>
        <w:tc>
          <w:tcPr>
            <w:tcW w:type="dxa" w:w="1504"/>
          </w:tcPr>
          <w:p>
            <w:r/>
            <w:r>
              <w:rPr>
                <w:rFonts w:ascii="Times New Roman" w:hAnsi="Times New Roman"/>
                <w:b w:val="0"/>
                <w:i w:val="0"/>
                <w:sz w:val="18"/>
              </w:rPr>
              <w:t>59 (62.1 %)</w:t>
            </w:r>
          </w:p>
        </w:tc>
        <w:tc>
          <w:tcPr>
            <w:tcW w:type="dxa" w:w="1504"/>
          </w:tcPr>
          <w:p>
            <w:r/>
            <w:r>
              <w:rPr>
                <w:rFonts w:ascii="Times New Roman" w:hAnsi="Times New Roman"/>
                <w:b w:val="0"/>
                <w:i w:val="0"/>
                <w:sz w:val="18"/>
              </w:rPr>
              <w:t>48</w:t>
            </w:r>
          </w:p>
        </w:tc>
        <w:tc>
          <w:tcPr>
            <w:tcW w:type="dxa" w:w="1504"/>
          </w:tcPr>
          <w:p>
            <w:r/>
            <w:r>
              <w:rPr>
                <w:rFonts w:ascii="Times New Roman" w:hAnsi="Times New Roman"/>
                <w:b w:val="0"/>
                <w:i w:val="0"/>
                <w:sz w:val="18"/>
              </w:rPr>
              <w:t>23</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504"/>
          </w:tcPr>
          <w:p>
            <w:r/>
            <w:r>
              <w:rPr>
                <w:rFonts w:ascii="Times New Roman" w:hAnsi="Times New Roman"/>
                <w:b w:val="0"/>
                <w:i w:val="0"/>
                <w:sz w:val="18"/>
              </w:rPr>
              <w:t>37 (38.9 %)</w:t>
            </w:r>
          </w:p>
        </w:tc>
        <w:tc>
          <w:tcPr>
            <w:tcW w:type="dxa" w:w="1504"/>
          </w:tcPr>
          <w:p>
            <w:r/>
            <w:r>
              <w:rPr>
                <w:rFonts w:ascii="Times New Roman" w:hAnsi="Times New Roman"/>
                <w:b w:val="0"/>
                <w:i w:val="0"/>
                <w:sz w:val="18"/>
              </w:rPr>
              <w:t>62</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9</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Vía de administración del fago</w:t>
            </w:r>
          </w:p>
        </w:tc>
        <w:tc>
          <w:tcPr>
            <w:tcW w:type="dxa" w:w="1504"/>
          </w:tcPr>
          <w:p>
            <w:r/>
            <w:r>
              <w:rPr>
                <w:rFonts w:ascii="Times New Roman" w:hAnsi="Times New Roman"/>
                <w:b w:val="0"/>
                <w:i w:val="0"/>
                <w:sz w:val="18"/>
              </w:rPr>
              <w:t>50 (52.6 %)</w:t>
            </w:r>
          </w:p>
        </w:tc>
        <w:tc>
          <w:tcPr>
            <w:tcW w:type="dxa" w:w="1504"/>
          </w:tcPr>
          <w:p>
            <w:r/>
            <w:r>
              <w:rPr>
                <w:rFonts w:ascii="Times New Roman" w:hAnsi="Times New Roman"/>
                <w:b w:val="0"/>
                <w:i w:val="0"/>
                <w:sz w:val="18"/>
              </w:rPr>
              <w:t>69</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Modalidad (monoterapia o combinada)</w:t>
            </w:r>
          </w:p>
        </w:tc>
        <w:tc>
          <w:tcPr>
            <w:tcW w:type="dxa" w:w="1504"/>
          </w:tcPr>
          <w:p>
            <w:r/>
            <w:r>
              <w:rPr>
                <w:rFonts w:ascii="Times New Roman" w:hAnsi="Times New Roman"/>
                <w:b w:val="0"/>
                <w:i w:val="0"/>
                <w:sz w:val="18"/>
              </w:rPr>
              <w:t>60 (63.2 %)</w:t>
            </w:r>
          </w:p>
        </w:tc>
        <w:tc>
          <w:tcPr>
            <w:tcW w:type="dxa" w:w="1504"/>
          </w:tcPr>
          <w:p>
            <w:r/>
            <w:r>
              <w:rPr>
                <w:rFonts w:ascii="Times New Roman" w:hAnsi="Times New Roman"/>
                <w:b w:val="0"/>
                <w:i w:val="0"/>
                <w:sz w:val="18"/>
              </w:rPr>
              <w:t>69</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w:t>
            </w:r>
          </w:p>
        </w:tc>
        <w:tc>
          <w:tcPr>
            <w:tcW w:type="dxa" w:w="1504"/>
          </w:tcPr>
          <w:p>
            <w:r/>
            <w:r>
              <w:rPr>
                <w:rFonts w:ascii="Times New Roman" w:hAnsi="Times New Roman"/>
                <w:b w:val="0"/>
                <w:i w:val="0"/>
                <w:sz w:val="18"/>
              </w:rPr>
              <w:t>24</w:t>
            </w:r>
          </w:p>
        </w:tc>
      </w:tr>
      <w:tr>
        <w:tc>
          <w:tcPr>
            <w:tcW w:type="dxa" w:w="1504"/>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504"/>
          </w:tcPr>
          <w:p>
            <w:r/>
            <w:r>
              <w:rPr>
                <w:rFonts w:ascii="Times New Roman" w:hAnsi="Times New Roman"/>
                <w:b w:val="0"/>
                <w:i w:val="0"/>
                <w:sz w:val="18"/>
              </w:rPr>
              <w:t>93 (97.9 %)</w:t>
            </w:r>
          </w:p>
        </w:tc>
        <w:tc>
          <w:tcPr>
            <w:tcW w:type="dxa" w:w="1504"/>
          </w:tcPr>
          <w:p>
            <w:r/>
            <w:r>
              <w:rPr>
                <w:rFonts w:ascii="Times New Roman" w:hAnsi="Times New Roman"/>
                <w:b w:val="0"/>
                <w:i w:val="0"/>
                <w:sz w:val="18"/>
              </w:rPr>
              <w:t>70</w:t>
            </w:r>
          </w:p>
        </w:tc>
        <w:tc>
          <w:tcPr>
            <w:tcW w:type="dxa" w:w="1504"/>
          </w:tcPr>
          <w:p>
            <w:r/>
            <w:r>
              <w:rPr>
                <w:rFonts w:ascii="Times New Roman" w:hAnsi="Times New Roman"/>
                <w:b w:val="0"/>
                <w:i w:val="0"/>
                <w:sz w:val="18"/>
              </w:rPr>
              <w:t>1</w:t>
            </w:r>
          </w:p>
        </w:tc>
        <w:tc>
          <w:tcPr>
            <w:tcW w:type="dxa" w:w="1504"/>
          </w:tcPr>
          <w:p>
            <w:r/>
            <w:r>
              <w:rPr>
                <w:rFonts w:ascii="Times New Roman" w:hAnsi="Times New Roman"/>
                <w:b w:val="0"/>
                <w:i w:val="0"/>
                <w:sz w:val="18"/>
              </w:rPr>
              <w:t>0</w:t>
            </w:r>
          </w:p>
        </w:tc>
        <w:tc>
          <w:tcPr>
            <w:tcW w:type="dxa" w:w="1504"/>
          </w:tcPr>
          <w:p>
            <w:r/>
            <w:r>
              <w:rPr>
                <w:rFonts w:ascii="Times New Roman" w:hAnsi="Times New Roman"/>
                <w:b w:val="0"/>
                <w:i w:val="0"/>
                <w:sz w:val="18"/>
              </w:rPr>
              <w:t>24</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55.3</w:t>
            </w:r>
          </w:p>
        </w:tc>
        <w:tc>
          <w:tcPr>
            <w:tcW w:type="dxa" w:w="1805"/>
          </w:tcPr>
          <w:p>
            <w:r/>
            <w:r>
              <w:rPr>
                <w:rFonts w:ascii="Times New Roman" w:hAnsi="Times New Roman"/>
                <w:b w:val="0"/>
                <w:i w:val="0"/>
                <w:sz w:val="18"/>
              </w:rPr>
              <w:t>70.9</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81</w:t>
            </w:r>
          </w:p>
        </w:tc>
        <w:tc>
          <w:tcPr>
            <w:tcW w:type="dxa" w:w="1805"/>
          </w:tcPr>
          <w:p>
            <w:r/>
            <w:r>
              <w:rPr>
                <w:rFonts w:ascii="Times New Roman" w:hAnsi="Times New Roman"/>
                <w:b w:val="0"/>
                <w:i w:val="0"/>
                <w:sz w:val="18"/>
              </w:rPr>
              <w:t>78.6</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103</w:t>
            </w:r>
          </w:p>
        </w:tc>
        <w:tc>
          <w:tcPr>
            <w:tcW w:type="dxa" w:w="3009"/>
          </w:tcPr>
          <w:p>
            <w:r/>
            <w:r>
              <w:rPr>
                <w:rFonts w:ascii="Times New Roman" w:hAnsi="Times New Roman"/>
                <w:b w:val="0"/>
                <w:i w:val="0"/>
                <w:sz w:val="18"/>
              </w:rPr>
              <w:t>103 (95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70 (66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26 (23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22 (19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21 (18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137 estudios con su situación y sus informes agrupados, y de los 46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