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257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no el informe. Extracción por duplicado e independiente, con 539 de 541 desacuerdos adjudicados por consenso. El riesgo de sesgo se evaluó por consenso, por dominios, en los 12 comparativos con texto completo (RoB 2, ROBINS-I); no se aplicó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evaluados para elegibilidad, de los que 46 se excluyeron: 22 por el artículo, 17 por la ficha del registro y 7 sin poder leer ninguno. Quedan 137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254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not the report. Extraction was in duplicate and independent, with 539 of 541 disagreements adjudicated by consensus. Risk of bias was assessed by consensus, by domain, in the 12 comparative studies with full text (RoB 2, ROBINS-I);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183 studies assessed for eligibility, of which 46 were excluded: 22 on the article, 17 on the registry record and 7 without reading either. 137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the arithmetic requirements of a pooled proportion together with those of eligibility.</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Revisión sistemática conforme a PRISMA 2020 sobre ocho fuentes —bases bibliográficas y registros de ensayos—, con ventana 2016-2026 donde la interfaz la admite. La unidad de inclusión fue el estudio, no el informe. Extracción por duplicado e independiente, con 539 de 541 desacuerdos adjudicados por consenso. El riesgo de sesgo se evaluó por consenso, por dominios, en los 12 comparativos con texto completo (RoB 2, ROBINS-I); no se aplicó GRADE. De 23 057 registros quedaron 17 129 informes únicos; 233 informes formaron 183 estudios evaluados para elegibilidad, de los que 46 se excluyeron: 22 por el artículo, 17 por la ficha del registro y 7 sin poder leer ninguno. Quedan 137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245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PRISMA 2020 systematic review across eight sources —bibliographic databases and trial registries—, with a 2016-2026 window where the interface allows it. The unit of inclusion was the study, not the report. Data were extracted in duplicate and independently, with 539 of 541 disagreements adjudicated by consensus. Risk of bias was assessed by consensus, by domain, in the 12 comparative studies with full text (RoB 2, ROBINS-I); GRADE was not applied. From 23 057 records, 17 129 unique reports remained; 233 reports formed 183 studies assessed for eligibility, of which 46 were excluded: 22 on the article, 17 on the registry record and 7 without reading either. 137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the arithmetic requirements of a pooled proportion together with those of eligibility.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