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Informe editorial</w:t>
      </w:r>
    </w:p>
    <w:p>
      <w:r>
        <w:rPr>
          <w:i/>
          <w:sz w:val="19"/>
        </w:rPr>
        <w:t>Evaluación previa a revisión por pares. Revista de microbiología clínica / revisiones sistemáticas. 22 de septiembre de 2026.</w:t>
      </w:r>
    </w:p>
    <w:p>
      <w:pPr>
        <w:pStyle w:val="Heading1"/>
      </w:pPr>
      <w:r>
        <w:t>Decisión</w:t>
      </w:r>
    </w:p>
    <w:p>
      <w:r>
        <w:rPr>
          <w:b/>
        </w:rPr>
        <w:t>REVISIÓN MAYOR ANTES DE ENVIAR A PARES.</w:t>
      </w:r>
    </w:p>
    <w:p>
      <w:r>
        <w:t>El trabajo metodológico que sostiene este manuscrito está por encima de lo habitual en el campo, y su hallazgo central es relevante y publicable. El reparo que lo retenía fuera de la revisión por pares ya no está: la extracción por duplicado está hecha (122 de 124 estudios). La adjudicación por consenso quedó cerrada el 14 de septiembre de 2026: 539 de los 541 desacuerdos llevan firma conjunta y los 2 restantes se cerraron por una regla mecánica, declarada como tal. Con eso cae el reparo B1; lo que sigue bloqueando es el registro del protocolo. Lo que sigue distingue lo que impide publicar de lo que solo mejora el manuscrito.</w:t>
      </w:r>
    </w:p>
    <w:p>
      <w:pPr>
        <w:pStyle w:val="Heading1"/>
      </w:pPr>
      <w:r>
        <w:t>Lo que este manuscrito hace bien</w:t>
      </w:r>
    </w:p>
    <w:p>
      <w:pPr>
        <w:pStyle w:val="ListBullet"/>
      </w:pPr>
      <w:r>
        <w:t>La búsqueda es más amplia que la de las revisiones publicadas en el campo: 8 fuentes en dos corrientes —Scopus en dos brazos, 9 consultas en total—, sin restricción de idioma, con literatura regional y registros de ensayos incluidos. La inclusión de BVS y SciELO no es decorativa: aporta la literatura donde se concentran los diseños comparativos.</w:t>
      </w:r>
    </w:p>
    <w:p>
      <w:pPr>
        <w:pStyle w:val="ListBullet"/>
      </w:pPr>
      <w:r>
        <w:t>La auditoría de controles positivos es infrecuente y convincente. Permite afirmar, y no solo esperar, que el cribado no perdió estudios elegibles conocidos. Que se declare el fallo detectado en una ejecución intermedia refuerza la afirmación en vez de debilitarla.</w:t>
      </w:r>
    </w:p>
    <w:p>
      <w:pPr>
        <w:pStyle w:val="ListBullet"/>
      </w:pPr>
      <w:r>
        <w:t>El vocabulario cerrado de exclusión, fijado antes de empezar, resuelve un problema real de las revisiones grandes: los motivos escritos en texto libre derivan entre lotes y luego hay que reagruparlos a mano.</w:t>
      </w:r>
    </w:p>
    <w:p>
      <w:pPr>
        <w:pStyle w:val="ListBullet"/>
      </w:pPr>
      <w:r>
        <w:t>La sección 3.5 argumenta explícitamente por qué NO se agrupa. Es lo contrario de lo habitual, y es lo correcto cuando los requisitos del diseño no se cumplen.</w:t>
      </w:r>
    </w:p>
    <w:p>
      <w:pPr>
        <w:pStyle w:val="ListBullet"/>
      </w:pPr>
      <w:r>
        <w:t>La declaración de uso de IA nombra el modelo, la versión y el número de decisiones que emitió, y separa las tareas en que el modelo juzgó de aquellas en que no. Declara además que ningún revisor humano adjudicó decisiones de cribado individuales, que es la parte que casi ninguna revisión declara por su cuenta.</w:t>
      </w:r>
    </w:p>
    <w:p>
      <w:pPr>
        <w:pStyle w:val="ListBullet"/>
      </w:pPr>
      <w:r>
        <w:t>El criterio de idioma no se da por supuesto en ningún informe. Se verificó contra el campo de idioma de la fuente y, en los 52 estudios con PDF, contra el texto completo. Esa comprobación detectó dos estudios cuyos metadatos declaraban inglés y cuyo artículo está en ruso, que se excluyeron: sin abrir el PDF se habrían quedado dentro. Los 171 informes incluidos quedan con evidencia nombrada y ninguno sin prueba (S9 y S10).</w:t>
      </w:r>
    </w:p>
    <w:p>
      <w:pPr>
        <w:pStyle w:val="Heading1"/>
      </w:pPr>
      <w:r>
        <w:t>Sobre la restricción de idioma</w:t>
      </w:r>
    </w:p>
    <w:p>
      <w:r>
        <w:t>La revisión restringe la elegibilidad a informes en inglés o español. El criterio se adoptó con el cribado ya cerrado y está declarado como enmienda en §2.9, con su impacto medido. Como editor lo acepto declarado, pero advierto de la objeción que le van a plantear y que el manuscrito debe seguir respondiendo con claridad: el propio artículo demuestra que los diseños comparativos se concentran en la literatura de Europa del Este, y el criterio deja fuera precisamente esa literatura. La respuesta actual -- que la búsqueda sí la recuperó, que la revisión documenta su existencia y su tamaño, y que declara no poder pronunciarse sobre su contenido -- es defendible. Debe mantenerse en Discusión y no diluirse.</w:t>
      </w:r>
    </w:p>
    <w:tbl>
      <w:tblPr>
        <w:tblStyle w:val="LightGrid-Accent1"/>
        <w:tblW w:type="auto" w:w="0"/>
        <w:tblLook w:firstColumn="1" w:firstRow="1" w:lastColumn="0" w:lastRow="0" w:noHBand="0" w:noVBand="1" w:val="04A0"/>
      </w:tblPr>
      <w:tblGrid>
        <w:gridCol w:w="3249"/>
        <w:gridCol w:w="3249"/>
        <w:gridCol w:w="3249"/>
      </w:tblGrid>
      <w:tr>
        <w:tc>
          <w:tcPr>
            <w:tcW w:type="dxa" w:w="3969"/>
          </w:tcPr>
          <w:p>
            <w:r/>
            <w:r>
              <w:rPr>
                <w:b/>
                <w:sz w:val="18"/>
              </w:rPr>
              <w:t>Efecto del criterio</w:t>
            </w:r>
          </w:p>
        </w:tc>
        <w:tc>
          <w:tcPr>
            <w:tcW w:type="dxa" w:w="2494"/>
          </w:tcPr>
          <w:p>
            <w:r/>
            <w:r>
              <w:rPr>
                <w:b/>
                <w:sz w:val="18"/>
              </w:rPr>
              <w:t>Antes</w:t>
            </w:r>
          </w:p>
        </w:tc>
        <w:tc>
          <w:tcPr>
            <w:tcW w:type="dxa" w:w="2494"/>
          </w:tcPr>
          <w:p>
            <w:r/>
            <w:r>
              <w:rPr>
                <w:b/>
                <w:sz w:val="18"/>
              </w:rPr>
              <w:t>Después</w:t>
            </w:r>
          </w:p>
        </w:tc>
      </w:tr>
      <w:tr>
        <w:tc>
          <w:tcPr>
            <w:tcW w:type="dxa" w:w="3969"/>
          </w:tcPr>
          <w:p>
            <w:r/>
            <w:r>
              <w:rPr>
                <w:sz w:val="18"/>
              </w:rPr>
              <w:t>Estudios</w:t>
            </w:r>
          </w:p>
        </w:tc>
        <w:tc>
          <w:tcPr>
            <w:tcW w:type="dxa" w:w="2494"/>
          </w:tcPr>
          <w:p>
            <w:r/>
            <w:r>
              <w:rPr>
                <w:sz w:val="18"/>
              </w:rPr>
              <w:t>218</w:t>
            </w:r>
          </w:p>
        </w:tc>
        <w:tc>
          <w:tcPr>
            <w:tcW w:type="dxa" w:w="2494"/>
          </w:tcPr>
          <w:p>
            <w:r/>
            <w:r>
              <w:rPr>
                <w:sz w:val="18"/>
              </w:rPr>
              <w:t>137</w:t>
            </w:r>
          </w:p>
        </w:tc>
      </w:tr>
      <w:tr>
        <w:tc>
          <w:tcPr>
            <w:tcW w:type="dxa" w:w="3969"/>
          </w:tcPr>
          <w:p>
            <w:r/>
            <w:r>
              <w:rPr>
                <w:sz w:val="18"/>
              </w:rPr>
              <w:t>Con publicación recuperable</w:t>
            </w:r>
          </w:p>
        </w:tc>
        <w:tc>
          <w:tcPr>
            <w:tcW w:type="dxa" w:w="2494"/>
          </w:tcPr>
          <w:p>
            <w:r/>
            <w:r>
              <w:rPr>
                <w:sz w:val="18"/>
              </w:rPr>
              <w:t>159</w:t>
            </w:r>
          </w:p>
        </w:tc>
        <w:tc>
          <w:tcPr>
            <w:tcW w:type="dxa" w:w="2494"/>
          </w:tcPr>
          <w:p>
            <w:r/>
            <w:r>
              <w:rPr>
                <w:sz w:val="18"/>
              </w:rPr>
              <w:t>95</w:t>
            </w:r>
          </w:p>
        </w:tc>
      </w:tr>
      <w:tr>
        <w:tc>
          <w:tcPr>
            <w:tcW w:type="dxa" w:w="3969"/>
          </w:tcPr>
          <w:p>
            <w:r/>
            <w:r>
              <w:rPr>
                <w:sz w:val="18"/>
              </w:rPr>
              <w:t>Diseños comparativos</w:t>
            </w:r>
          </w:p>
        </w:tc>
        <w:tc>
          <w:tcPr>
            <w:tcW w:type="dxa" w:w="2494"/>
          </w:tcPr>
          <w:p>
            <w:r/>
            <w:r>
              <w:rPr>
                <w:sz w:val="18"/>
              </w:rPr>
              <w:t>41</w:t>
            </w:r>
          </w:p>
        </w:tc>
        <w:tc>
          <w:tcPr>
            <w:tcW w:type="dxa" w:w="2494"/>
          </w:tcPr>
          <w:p>
            <w:r/>
            <w:r>
              <w:rPr>
                <w:sz w:val="18"/>
              </w:rPr>
              <w:t>11</w:t>
            </w:r>
          </w:p>
        </w:tc>
      </w:tr>
      <w:tr>
        <w:tc>
          <w:tcPr>
            <w:tcW w:type="dxa" w:w="3969"/>
          </w:tcPr>
          <w:p>
            <w:r/>
            <w:r>
              <w:rPr>
                <w:sz w:val="18"/>
              </w:rPr>
              <w:t>Ensayos aleatorizados</w:t>
            </w:r>
          </w:p>
        </w:tc>
        <w:tc>
          <w:tcPr>
            <w:tcW w:type="dxa" w:w="2494"/>
          </w:tcPr>
          <w:p>
            <w:r/>
            <w:r>
              <w:rPr>
                <w:sz w:val="18"/>
              </w:rPr>
              <w:t>21</w:t>
            </w:r>
          </w:p>
        </w:tc>
        <w:tc>
          <w:tcPr>
            <w:tcW w:type="dxa" w:w="2494"/>
          </w:tcPr>
          <w:p>
            <w:r/>
            <w:r>
              <w:rPr>
                <w:sz w:val="18"/>
              </w:rPr>
              <w:t>7</w:t>
            </w:r>
          </w:p>
        </w:tc>
      </w:tr>
      <w:tr>
        <w:tc>
          <w:tcPr>
            <w:tcW w:type="dxa" w:w="3969"/>
          </w:tcPr>
          <w:p>
            <w:r/>
            <w:r>
              <w:rPr>
                <w:sz w:val="18"/>
              </w:rPr>
              <w:t>Estudios de procedencia rusa</w:t>
            </w:r>
          </w:p>
        </w:tc>
        <w:tc>
          <w:tcPr>
            <w:tcW w:type="dxa" w:w="2494"/>
          </w:tcPr>
          <w:p>
            <w:r/>
            <w:r>
              <w:rPr>
                <w:sz w:val="18"/>
              </w:rPr>
              <w:t>34</w:t>
            </w:r>
          </w:p>
        </w:tc>
        <w:tc>
          <w:tcPr>
            <w:tcW w:type="dxa" w:w="2494"/>
          </w:tcPr>
          <w:p>
            <w:r/>
            <w:r>
              <w:rPr>
                <w:sz w:val="18"/>
              </w:rPr>
              <w:t>3</w:t>
            </w:r>
          </w:p>
        </w:tc>
      </w:tr>
    </w:tbl>
    <w:p/>
    <w:p>
      <w:r>
        <w:rPr>
          <w:i/>
          <w:color w:val="444444"/>
          <w:sz w:val="17"/>
        </w:rPr>
        <w:t>De los 35 estudios eliminados, dos se detectaron solo al leer el PDF: sus metadatos declaraban inglés y el artículo está en ruso. Se pierde además Ronit 2024, del conjunto de control positivo.</w:t>
      </w:r>
    </w:p>
    <w:p>
      <w:pPr>
        <w:pStyle w:val="Heading1"/>
      </w:pPr>
      <w:r>
        <w:t>Condiciones para publicar (bloqueantes)</w:t>
      </w:r>
    </w:p>
    <w:tbl>
      <w:tblPr>
        <w:tblStyle w:val="LightGrid-Accent1"/>
        <w:tblW w:type="auto" w:w="0"/>
        <w:tblLook w:firstColumn="1" w:firstRow="1" w:lastColumn="0" w:lastRow="0" w:noHBand="0" w:noVBand="1" w:val="04A0"/>
      </w:tblPr>
      <w:tblGrid>
        <w:gridCol w:w="2436"/>
        <w:gridCol w:w="2436"/>
        <w:gridCol w:w="2436"/>
        <w:gridCol w:w="2436"/>
      </w:tblGrid>
      <w:tr>
        <w:tc>
          <w:tcPr>
            <w:tcW w:type="dxa" w:w="680"/>
          </w:tcPr>
          <w:p>
            <w:r/>
            <w:r>
              <w:rPr>
                <w:b/>
                <w:sz w:val="18"/>
              </w:rPr>
              <w:t>#</w:t>
            </w:r>
          </w:p>
        </w:tc>
        <w:tc>
          <w:tcPr>
            <w:tcW w:type="dxa" w:w="2608"/>
          </w:tcPr>
          <w:p>
            <w:r/>
            <w:r>
              <w:rPr>
                <w:b/>
                <w:sz w:val="18"/>
              </w:rPr>
              <w:t>Qué falta</w:t>
            </w:r>
          </w:p>
        </w:tc>
        <w:tc>
          <w:tcPr>
            <w:tcW w:type="dxa" w:w="3628"/>
          </w:tcPr>
          <w:p>
            <w:r/>
            <w:r>
              <w:rPr>
                <w:b/>
                <w:sz w:val="18"/>
              </w:rPr>
              <w:t>Por qué bloquea</w:t>
            </w:r>
          </w:p>
        </w:tc>
        <w:tc>
          <w:tcPr>
            <w:tcW w:type="dxa" w:w="2494"/>
          </w:tcPr>
          <w:p>
            <w:r/>
            <w:r>
              <w:rPr>
                <w:b/>
                <w:sz w:val="18"/>
              </w:rPr>
              <w:t>Quién lo resuelve</w:t>
            </w:r>
          </w:p>
        </w:tc>
      </w:tr>
      <w:tr>
        <w:tc>
          <w:tcPr>
            <w:tcW w:type="dxa" w:w="680"/>
          </w:tcPr>
          <w:p>
            <w:r/>
            <w:r>
              <w:rPr>
                <w:sz w:val="18"/>
              </w:rPr>
              <w:t>B1</w:t>
            </w:r>
          </w:p>
        </w:tc>
        <w:tc>
          <w:tcPr>
            <w:tcW w:type="dxa" w:w="2608"/>
          </w:tcPr>
          <w:p>
            <w:r/>
            <w:r>
              <w:rPr>
                <w:sz w:val="18"/>
              </w:rPr>
              <w:t>Adjudicación por consenso de los desacuerdos</w:t>
            </w:r>
          </w:p>
        </w:tc>
        <w:tc>
          <w:tcPr>
            <w:tcW w:type="dxa" w:w="3628"/>
          </w:tcPr>
          <w:p>
            <w:r/>
            <w:r>
              <w:rPr>
                <w:sz w:val="18"/>
              </w:rPr>
              <w:t>RESUELTO el 14 de septiembre de 2026. Extracción por duplicado completa (122 de 124 estudios, 98 %) y 539 de 541 desacuerdos con firma conjunta; los 2 restantes, cerrados por regla mecánica y declarados como tal. La fila se conserva porque era el reparo principal y el lector tiene que poder ver que cayó.</w:t>
            </w:r>
          </w:p>
        </w:tc>
        <w:tc>
          <w:tcPr>
            <w:tcW w:type="dxa" w:w="2494"/>
          </w:tcPr>
          <w:p>
            <w:r/>
            <w:r>
              <w:rPr>
                <w:sz w:val="18"/>
              </w:rPr>
              <w:t>Los dos revisores, sobre ADJUDICACION_conflictos.xlsx</w:t>
            </w:r>
          </w:p>
        </w:tc>
      </w:tr>
      <w:tr>
        <w:tc>
          <w:tcPr>
            <w:tcW w:type="dxa" w:w="680"/>
          </w:tcPr>
          <w:p>
            <w:r/>
            <w:r>
              <w:rPr>
                <w:sz w:val="18"/>
              </w:rPr>
              <w:t>B2</w:t>
            </w:r>
          </w:p>
        </w:tc>
        <w:tc>
          <w:tcPr>
            <w:tcW w:type="dxa" w:w="2608"/>
          </w:tcPr>
          <w:p>
            <w:r/>
            <w:r>
              <w:rPr>
                <w:sz w:val="18"/>
              </w:rPr>
              <w:t>Registro del protocolo</w:t>
            </w:r>
          </w:p>
        </w:tc>
        <w:tc>
          <w:tcPr>
            <w:tcW w:type="dxa" w:w="3628"/>
          </w:tcPr>
          <w:p>
            <w:r/>
            <w:r>
              <w:rPr>
                <w:sz w:val="18"/>
              </w:rPr>
              <w:t>PROSPERO admite registro aunque la revisión esté en marcha, declarando la fecha de inicio. Sin registro ni declaración, muchas revistas devuelven el manuscrito sin revisar. El manuscrito SÍ declara la ausencia, que es la vía honesta, pero el registro sigue siendo preferible.</w:t>
            </w:r>
          </w:p>
        </w:tc>
        <w:tc>
          <w:tcPr>
            <w:tcW w:type="dxa" w:w="2494"/>
          </w:tcPr>
          <w:p>
            <w:r/>
            <w:r>
              <w:rPr>
                <w:sz w:val="18"/>
              </w:rPr>
              <w:t>Autor de correspondencia; 1–2 días de trámite</w:t>
            </w:r>
          </w:p>
        </w:tc>
      </w:tr>
      <w:tr>
        <w:tc>
          <w:tcPr>
            <w:tcW w:type="dxa" w:w="680"/>
          </w:tcPr>
          <w:p>
            <w:r/>
            <w:r>
              <w:rPr>
                <w:sz w:val="18"/>
              </w:rPr>
              <w:t>B3</w:t>
            </w:r>
          </w:p>
        </w:tc>
        <w:tc>
          <w:tcPr>
            <w:tcW w:type="dxa" w:w="2608"/>
          </w:tcPr>
          <w:p>
            <w:r/>
            <w:r>
              <w:rPr>
                <w:sz w:val="18"/>
              </w:rPr>
              <w:t>Recuperación del texto completo</w:t>
            </w:r>
          </w:p>
        </w:tc>
        <w:tc>
          <w:tcPr>
            <w:tcW w:type="dxa" w:w="3628"/>
          </w:tcPr>
          <w:p>
            <w:r/>
            <w:r>
              <w:rPr>
                <w:sz w:val="18"/>
              </w:rPr>
              <w:t>El 74,7 % obtenido sigue siendo insuficiente y, sobre todo, sesgado: la fracción faltante concentra el 54,5 % de los diseños comparativos. Un revisor objetará que las características descritas no representan al campo.</w:t>
            </w:r>
          </w:p>
        </w:tc>
        <w:tc>
          <w:tcPr>
            <w:tcW w:type="dxa" w:w="2494"/>
          </w:tcPr>
          <w:p>
            <w:r/>
            <w:r>
              <w:rPr>
                <w:sz w:val="18"/>
              </w:rPr>
              <w:t>Biblioteca de la universidad; petición interbibliotecaria</w:t>
            </w:r>
          </w:p>
        </w:tc>
      </w:tr>
      <w:tr>
        <w:tc>
          <w:tcPr>
            <w:tcW w:type="dxa" w:w="680"/>
          </w:tcPr>
          <w:p>
            <w:r/>
            <w:r>
              <w:rPr>
                <w:sz w:val="18"/>
              </w:rPr>
              <w:t>B4</w:t>
            </w:r>
          </w:p>
        </w:tc>
        <w:tc>
          <w:tcPr>
            <w:tcW w:type="dxa" w:w="2608"/>
          </w:tcPr>
          <w:p>
            <w:r/>
            <w:r>
              <w:rPr>
                <w:sz w:val="18"/>
              </w:rPr>
              <w:t>Evaluación del riesgo de sesgo</w:t>
            </w:r>
          </w:p>
        </w:tc>
        <w:tc>
          <w:tcPr>
            <w:tcW w:type="dxa" w:w="3628"/>
          </w:tcPr>
          <w:p>
            <w:r/>
            <w:r>
              <w:rPr>
                <w:sz w:val="18"/>
              </w:rPr>
              <w:t>PRISMA 2020 ítems 11 y 18. Depende de B1 y B3.</w:t>
            </w:r>
          </w:p>
        </w:tc>
        <w:tc>
          <w:tcPr>
            <w:tcW w:type="dxa" w:w="2494"/>
          </w:tcPr>
          <w:p>
            <w:r/>
            <w:r>
              <w:rPr>
                <w:sz w:val="18"/>
              </w:rPr>
              <w:t>Los dos revisores, con RoB 2, ROBINS-I y Murad</w:t>
            </w:r>
          </w:p>
        </w:tc>
      </w:tr>
      <w:tr>
        <w:tc>
          <w:tcPr>
            <w:tcW w:type="dxa" w:w="680"/>
          </w:tcPr>
          <w:p>
            <w:r/>
            <w:r>
              <w:rPr>
                <w:sz w:val="18"/>
              </w:rPr>
              <w:t>B5</w:t>
            </w:r>
          </w:p>
        </w:tc>
        <w:tc>
          <w:tcPr>
            <w:tcW w:type="dxa" w:w="2608"/>
          </w:tcPr>
          <w:p>
            <w:r/>
            <w:r>
              <w:rPr>
                <w:sz w:val="18"/>
              </w:rPr>
              <w:t>Formularios ICMJE de conflicto de interés</w:t>
            </w:r>
          </w:p>
        </w:tc>
        <w:tc>
          <w:tcPr>
            <w:tcW w:type="dxa" w:w="3628"/>
          </w:tcPr>
          <w:p>
            <w:r/>
            <w:r>
              <w:rPr>
                <w:sz w:val="18"/>
              </w:rPr>
              <w:t>Uno firmado por autor. Requisito administrativo sin excepción.</w:t>
            </w:r>
          </w:p>
        </w:tc>
        <w:tc>
          <w:tcPr>
            <w:tcW w:type="dxa" w:w="2494"/>
          </w:tcPr>
          <w:p>
            <w:r/>
            <w:r>
              <w:rPr>
                <w:sz w:val="18"/>
              </w:rPr>
              <w:t>Cada autor</w:t>
            </w:r>
          </w:p>
        </w:tc>
      </w:tr>
      <w:tr>
        <w:tc>
          <w:tcPr>
            <w:tcW w:type="dxa" w:w="680"/>
          </w:tcPr>
          <w:p>
            <w:r/>
            <w:r>
              <w:rPr>
                <w:sz w:val="18"/>
              </w:rPr>
              <w:t>B6</w:t>
            </w:r>
          </w:p>
        </w:tc>
        <w:tc>
          <w:tcPr>
            <w:tcW w:type="dxa" w:w="2608"/>
          </w:tcPr>
          <w:p>
            <w:r/>
            <w:r>
              <w:rPr>
                <w:sz w:val="18"/>
              </w:rPr>
              <w:t>Contribución de autores en formato CRediT</w:t>
            </w:r>
          </w:p>
        </w:tc>
        <w:tc>
          <w:tcPr>
            <w:tcW w:type="dxa" w:w="3628"/>
          </w:tcPr>
          <w:p>
            <w:r/>
            <w:r>
              <w:rPr>
                <w:sz w:val="18"/>
              </w:rPr>
              <w:t>Exigido por la mayoría de revistas del área.</w:t>
            </w:r>
          </w:p>
        </w:tc>
        <w:tc>
          <w:tcPr>
            <w:tcW w:type="dxa" w:w="2494"/>
          </w:tcPr>
          <w:p>
            <w:r/>
            <w:r>
              <w:rPr>
                <w:sz w:val="18"/>
              </w:rPr>
              <w:t>Autor de correspondencia</w:t>
            </w:r>
          </w:p>
        </w:tc>
      </w:tr>
    </w:tbl>
    <w:p/>
    <w:p>
      <w:pPr>
        <w:pStyle w:val="Heading1"/>
      </w:pPr>
      <w:r>
        <w:t>Prioridad dentro de B3, si el tiempo es limitado</w:t>
      </w:r>
    </w:p>
    <w:p>
      <w:r>
        <w:t>No hacen falta los 24 textos completos que faltan para que el manuscrito resista la revisión. Los 11 estudios comparativos son los que deciden, y dentro de ellos los cuatro ensayos aleatorizados de referencia del campo. Recuperar solo esos cuatro cambia la objeción de «no ha leído los ensayos principales» a «no ha leído parte de la literatura regional», que es una limitación declarable.</w:t>
      </w:r>
    </w:p>
    <w:tbl>
      <w:tblPr>
        <w:tblStyle w:val="LightGrid-Accent1"/>
        <w:tblW w:type="auto" w:w="0"/>
        <w:tblLook w:firstColumn="1" w:firstRow="1" w:lastColumn="0" w:lastRow="0" w:noHBand="0" w:noVBand="1" w:val="04A0"/>
      </w:tblPr>
      <w:tblGrid>
        <w:gridCol w:w="2436"/>
        <w:gridCol w:w="2436"/>
        <w:gridCol w:w="2436"/>
        <w:gridCol w:w="2436"/>
      </w:tblGrid>
      <w:tr>
        <w:tc>
          <w:tcPr>
            <w:tcW w:type="dxa" w:w="1361"/>
          </w:tcPr>
          <w:p>
            <w:r/>
            <w:r>
              <w:rPr>
                <w:b/>
                <w:sz w:val="18"/>
              </w:rPr>
              <w:t>Estudio</w:t>
            </w:r>
          </w:p>
        </w:tc>
        <w:tc>
          <w:tcPr>
            <w:tcW w:type="dxa" w:w="2381"/>
          </w:tcPr>
          <w:p>
            <w:r/>
            <w:r>
              <w:rPr>
                <w:b/>
                <w:sz w:val="18"/>
              </w:rPr>
              <w:t>Publicación</w:t>
            </w:r>
          </w:p>
        </w:tc>
        <w:tc>
          <w:tcPr>
            <w:tcW w:type="dxa" w:w="2041"/>
          </w:tcPr>
          <w:p>
            <w:r/>
            <w:r>
              <w:rPr>
                <w:b/>
                <w:sz w:val="18"/>
              </w:rPr>
              <w:t>Identificador</w:t>
            </w:r>
          </w:p>
        </w:tc>
        <w:tc>
          <w:tcPr>
            <w:tcW w:type="dxa" w:w="3628"/>
          </w:tcPr>
          <w:p>
            <w:r/>
            <w:r>
              <w:rPr>
                <w:b/>
                <w:sz w:val="18"/>
              </w:rPr>
              <w:t>Por qué es prioritario</w:t>
            </w:r>
          </w:p>
        </w:tc>
      </w:tr>
      <w:tr>
        <w:tc>
          <w:tcPr>
            <w:tcW w:type="dxa" w:w="1361"/>
          </w:tcPr>
          <w:p>
            <w:r/>
            <w:r>
              <w:rPr>
                <w:sz w:val="18"/>
              </w:rPr>
              <w:t>EST-021</w:t>
            </w:r>
          </w:p>
        </w:tc>
        <w:tc>
          <w:tcPr>
            <w:tcW w:type="dxa" w:w="2381"/>
          </w:tcPr>
          <w:p>
            <w:r/>
            <w:r>
              <w:rPr>
                <w:sz w:val="18"/>
              </w:rPr>
              <w:t>Lancet Infect Dis 2019</w:t>
            </w:r>
          </w:p>
        </w:tc>
        <w:tc>
          <w:tcPr>
            <w:tcW w:type="dxa" w:w="2041"/>
          </w:tcPr>
          <w:p>
            <w:r/>
            <w:r>
              <w:rPr>
                <w:sz w:val="18"/>
              </w:rPr>
              <w:t>PMID 30292481</w:t>
            </w:r>
          </w:p>
        </w:tc>
        <w:tc>
          <w:tcPr>
            <w:tcW w:type="dxa" w:w="3628"/>
          </w:tcPr>
          <w:p>
            <w:r/>
            <w:r>
              <w:rPr>
                <w:sz w:val="18"/>
              </w:rPr>
              <w:t>PhagoBurn: único ensayo aleatorizado en quemados por P. aeruginosa</w:t>
            </w:r>
          </w:p>
        </w:tc>
      </w:tr>
      <w:tr>
        <w:tc>
          <w:tcPr>
            <w:tcW w:type="dxa" w:w="1361"/>
          </w:tcPr>
          <w:p>
            <w:r/>
            <w:r>
              <w:rPr>
                <w:sz w:val="18"/>
              </w:rPr>
              <w:t>EST-118</w:t>
            </w:r>
          </w:p>
        </w:tc>
        <w:tc>
          <w:tcPr>
            <w:tcW w:type="dxa" w:w="2381"/>
          </w:tcPr>
          <w:p>
            <w:r/>
            <w:r>
              <w:rPr>
                <w:sz w:val="18"/>
              </w:rPr>
              <w:t>Lancet Infect Dis 2021</w:t>
            </w:r>
          </w:p>
        </w:tc>
        <w:tc>
          <w:tcPr>
            <w:tcW w:type="dxa" w:w="2041"/>
          </w:tcPr>
          <w:p>
            <w:r/>
            <w:r>
              <w:rPr>
                <w:sz w:val="18"/>
              </w:rPr>
              <w:t>PMID 32949500</w:t>
            </w:r>
          </w:p>
        </w:tc>
        <w:tc>
          <w:tcPr>
            <w:tcW w:type="dxa" w:w="3628"/>
          </w:tcPr>
          <w:p>
            <w:r/>
            <w:r>
              <w:rPr>
                <w:sz w:val="18"/>
              </w:rPr>
              <w:t>Leitner: tres brazos aleatorizados con placebo y antibiótico; el comparador más limpio del corpus</w:t>
            </w:r>
          </w:p>
        </w:tc>
      </w:tr>
      <w:tr>
        <w:tc>
          <w:tcPr>
            <w:tcW w:type="dxa" w:w="1361"/>
          </w:tcPr>
          <w:p>
            <w:r/>
            <w:r>
              <w:rPr>
                <w:sz w:val="18"/>
              </w:rPr>
              <w:t>EST-052</w:t>
            </w:r>
          </w:p>
        </w:tc>
        <w:tc>
          <w:tcPr>
            <w:tcW w:type="dxa" w:w="2381"/>
          </w:tcPr>
          <w:p>
            <w:r/>
            <w:r>
              <w:rPr>
                <w:sz w:val="18"/>
              </w:rPr>
              <w:t>J Cyst Fibros 2023</w:t>
            </w:r>
          </w:p>
        </w:tc>
        <w:tc>
          <w:tcPr>
            <w:tcW w:type="dxa" w:w="2041"/>
          </w:tcPr>
          <w:p>
            <w:r/>
            <w:r>
              <w:rPr>
                <w:sz w:val="18"/>
              </w:rPr>
              <w:t>CYPHY (Yale)</w:t>
            </w:r>
          </w:p>
        </w:tc>
        <w:tc>
          <w:tcPr>
            <w:tcW w:type="dxa" w:w="3628"/>
          </w:tcPr>
          <w:p>
            <w:r/>
            <w:r>
              <w:rPr>
                <w:sz w:val="18"/>
              </w:rPr>
              <w:t>Ensayo aleatorizado en fibrosis quística</w:t>
            </w:r>
          </w:p>
        </w:tc>
      </w:tr>
      <w:tr>
        <w:tc>
          <w:tcPr>
            <w:tcW w:type="dxa" w:w="1361"/>
          </w:tcPr>
          <w:p>
            <w:r/>
            <w:r>
              <w:rPr>
                <w:sz w:val="18"/>
              </w:rPr>
              <w:t>EST-029</w:t>
            </w:r>
          </w:p>
        </w:tc>
        <w:tc>
          <w:tcPr>
            <w:tcW w:type="dxa" w:w="2381"/>
          </w:tcPr>
          <w:p>
            <w:r/>
            <w:r>
              <w:rPr>
                <w:sz w:val="18"/>
              </w:rPr>
              <w:t>Med 2025</w:t>
            </w:r>
          </w:p>
        </w:tc>
        <w:tc>
          <w:tcPr>
            <w:tcW w:type="dxa" w:w="2041"/>
          </w:tcPr>
          <w:p>
            <w:r/>
            <w:r>
              <w:rPr>
                <w:sz w:val="18"/>
              </w:rPr>
              <w:t>PMID 39740667</w:t>
            </w:r>
          </w:p>
        </w:tc>
        <w:tc>
          <w:tcPr>
            <w:tcW w:type="dxa" w:w="3628"/>
          </w:tcPr>
          <w:p>
            <w:r/>
            <w:r>
              <w:rPr>
                <w:sz w:val="18"/>
              </w:rPr>
              <w:t>TP-102 en pie diabético; aleatorizado y doble ciego</w:t>
            </w:r>
          </w:p>
        </w:tc>
      </w:tr>
    </w:tbl>
    <w:p/>
    <w:p>
      <w:pPr>
        <w:pStyle w:val="Heading1"/>
      </w:pPr>
      <w:r>
        <w:t>Observaciones que mejoran el manuscrito (no bloquean)</w:t>
      </w:r>
    </w:p>
    <w:p>
      <w:pPr>
        <w:pStyle w:val="ListBullet"/>
      </w:pPr>
      <w:r>
        <w:t>El título se revisó dos veces el 14 de septiembre de 2026. Partía de «revisión sistemática de la estructura y la verificabilidad del cuerpo de evidencia clínica», 162 caracteres en castellano y 157 en inglés. Primero se acortó a 141 y 141 adoptando la fórmula «revisión sistemática de la literatura» que usa la revista de destino. Después se sustituyó «verificabilidad» por «completitud del reporte» —«reporting completeness»—, y quedó en 148 y 150. Dos pérdidas conscientes, y las dos se declaran aquí. La primera: el título ya no nombra la estructura, que es la otra mitad de la pregunta de investigación; esa pregunta no se tocó y sigue formulada sobre las tres propiedades. La segunda: «completitud del reporte» nombra dos de los tres componentes medidos y deja fuera la recuperabilidad del informe, que se sigue nombrando en el cuerpo. Se prefirió un título que dice menos a uno que dice otra cosa. Sobre el término adoptado conviene adelantar una respuesta: buena parte de la literatura que se titula «reporting completeness» puntúa adherencia a una guía —CONSORT, CARE, STROBE—, y esta revisión no aplicó ninguna: contó presencia y ausencia de variables y de numerador y denominador, no adherencia normativa.</w:t>
      </w:r>
    </w:p>
    <w:p>
      <w:pPr>
        <w:pStyle w:val="ListBullet"/>
      </w:pPr>
      <w:r>
        <w:t>El resumen (241 palabras en la versión inglesa) cumple el límite habitual de 250. Comprobar el límite exacto de la revista de destino.</w:t>
      </w:r>
    </w:p>
    <w:p>
      <w:pPr>
        <w:pStyle w:val="ListBullet"/>
      </w:pPr>
      <w:r>
        <w:t>Las cifras de la sección 3.4 miden el reporte EN EL RESUMEN. El manuscrito lo aclara, y hace bien, pero conviene repetir esa salvedad en la leyenda de la Tabla 2, porque las tablas se leen sueltas.</w:t>
      </w:r>
    </w:p>
    <w:p>
      <w:pPr>
        <w:pStyle w:val="ListBullet"/>
      </w:pPr>
      <w:r>
        <w:t>La Figura 1 incluye una caja de recuperación de texto completo que no forma parte del flujo PRISMA. Está explicada en el pie, pero algún revisor la leerá como parte del diagrama. Considerar moverla a una figura suplementaria.</w:t>
      </w:r>
    </w:p>
    <w:p>
      <w:pPr>
        <w:pStyle w:val="ListBullet"/>
      </w:pPr>
      <w:r>
        <w:t>Falta un párrafo sobre por qué se excluyeron las endolisinas. La decisión es defendible y está en Métodos, pero merece una frase en Discusión, porque hay literatura que las cuenta como fagoterapia.</w:t>
      </w:r>
    </w:p>
    <w:p>
      <w:pPr>
        <w:pStyle w:val="ListBullet"/>
      </w:pPr>
      <w:r>
        <w:t>Declarar en Métodos qué se hará si un estudio aparece publicado entre la búsqueda y el envío.</w:t>
      </w:r>
    </w:p>
    <w:p>
      <w:pPr>
        <w:pStyle w:val="Heading1"/>
      </w:pPr>
      <w:r>
        <w:t>Sobre la vía de publicación, dado el plazo</w:t>
      </w:r>
    </w:p>
    <w:p>
      <w:r>
        <w:t>Si el plazo no permite completar B1, hay dos salidas legítimas y una que no lo es.</w:t>
      </w:r>
    </w:p>
    <w:tbl>
      <w:tblPr>
        <w:tblStyle w:val="LightGrid-Accent1"/>
        <w:tblW w:type="auto" w:w="0"/>
        <w:tblLook w:firstColumn="1" w:firstRow="1" w:lastColumn="0" w:lastRow="0" w:noHBand="0" w:noVBand="1" w:val="04A0"/>
      </w:tblPr>
      <w:tblGrid>
        <w:gridCol w:w="3249"/>
        <w:gridCol w:w="3249"/>
        <w:gridCol w:w="3249"/>
      </w:tblGrid>
      <w:tr>
        <w:tc>
          <w:tcPr>
            <w:tcW w:type="dxa" w:w="2381"/>
          </w:tcPr>
          <w:p>
            <w:r/>
            <w:r>
              <w:rPr>
                <w:b/>
                <w:sz w:val="18"/>
              </w:rPr>
              <w:t>Opción</w:t>
            </w:r>
          </w:p>
        </w:tc>
        <w:tc>
          <w:tcPr>
            <w:tcW w:type="dxa" w:w="3628"/>
          </w:tcPr>
          <w:p>
            <w:r/>
            <w:r>
              <w:rPr>
                <w:b/>
                <w:sz w:val="18"/>
              </w:rPr>
              <w:t>Qué se envía</w:t>
            </w:r>
          </w:p>
        </w:tc>
        <w:tc>
          <w:tcPr>
            <w:tcW w:type="dxa" w:w="3402"/>
          </w:tcPr>
          <w:p>
            <w:r/>
            <w:r>
              <w:rPr>
                <w:b/>
                <w:sz w:val="18"/>
              </w:rPr>
              <w:t>Viabilidad</w:t>
            </w:r>
          </w:p>
        </w:tc>
      </w:tr>
      <w:tr>
        <w:tc>
          <w:tcPr>
            <w:tcW w:type="dxa" w:w="2381"/>
          </w:tcPr>
          <w:p>
            <w:r/>
            <w:r>
              <w:rPr>
                <w:sz w:val="18"/>
              </w:rPr>
              <w:t>A. Completar la extracción</w:t>
            </w:r>
          </w:p>
        </w:tc>
        <w:tc>
          <w:tcPr>
            <w:tcW w:type="dxa" w:w="3628"/>
          </w:tcPr>
          <w:p>
            <w:r/>
            <w:r>
              <w:rPr>
                <w:sz w:val="18"/>
              </w:rPr>
              <w:t>Revisión sistemática completa, con desenlaces, riesgo de sesgo y GRADE</w:t>
            </w:r>
          </w:p>
        </w:tc>
        <w:tc>
          <w:tcPr>
            <w:tcW w:type="dxa" w:w="3402"/>
          </w:tcPr>
          <w:p>
            <w:r/>
            <w:r>
              <w:rPr>
                <w:sz w:val="18"/>
              </w:rPr>
              <w:t>La correcta. No es alcanzable en 24 horas con 95 estudios y dos revisores.</w:t>
            </w:r>
          </w:p>
        </w:tc>
      </w:tr>
      <w:tr>
        <w:tc>
          <w:tcPr>
            <w:tcW w:type="dxa" w:w="2381"/>
          </w:tcPr>
          <w:p>
            <w:r/>
            <w:r>
              <w:rPr>
                <w:sz w:val="18"/>
              </w:rPr>
              <w:t>B. Enviar como está, reencuadrado</w:t>
            </w:r>
          </w:p>
        </w:tc>
        <w:tc>
          <w:tcPr>
            <w:tcW w:type="dxa" w:w="3628"/>
          </w:tcPr>
          <w:p>
            <w:r/>
            <w:r>
              <w:rPr>
                <w:sz w:val="18"/>
              </w:rPr>
              <w:t>Revisión sistemática de la estructura del cuerpo de evidencia, de su recuperabilidad y de la completitud de su reporte, sin estimaciones de eficacia, con las cuatro limitaciones declaradas</w:t>
            </w:r>
          </w:p>
        </w:tc>
        <w:tc>
          <w:tcPr>
            <w:tcW w:type="dxa" w:w="3402"/>
          </w:tcPr>
          <w:p>
            <w:r/>
            <w:r>
              <w:rPr>
                <w:sz w:val="18"/>
              </w:rPr>
              <w:t>Alcanzable hoy. Es lo que el manuscrito ya hace. Admisible en revistas metodológicas y en revistas del área que publican evidence mapping.</w:t>
            </w:r>
          </w:p>
        </w:tc>
      </w:tr>
      <w:tr>
        <w:tc>
          <w:tcPr>
            <w:tcW w:type="dxa" w:w="2381"/>
          </w:tcPr>
          <w:p>
            <w:r/>
            <w:r>
              <w:rPr>
                <w:sz w:val="18"/>
              </w:rPr>
              <w:t>C. Publicar proporciones agrupadas</w:t>
            </w:r>
          </w:p>
        </w:tc>
        <w:tc>
          <w:tcPr>
            <w:tcW w:type="dxa" w:w="3628"/>
          </w:tcPr>
          <w:p>
            <w:r/>
            <w:r>
              <w:rPr>
                <w:sz w:val="18"/>
              </w:rPr>
              <w:t>Metaanálisis de proporciones de éxito</w:t>
            </w:r>
          </w:p>
        </w:tc>
        <w:tc>
          <w:tcPr>
            <w:tcW w:type="dxa" w:w="3402"/>
          </w:tcPr>
          <w:p>
            <w:r/>
            <w:r>
              <w:rPr>
                <w:sz w:val="18"/>
              </w:rPr>
              <w:t>NO. Los datos no lo sostienen y la sección 3.5 explica por qué. Hacerlo sería reproducir el defecto que este trabajo denuncia.</w:t>
            </w:r>
          </w:p>
        </w:tc>
      </w:tr>
    </w:tbl>
    <w:p/>
    <w:p>
      <w:r>
        <w:rPr>
          <w:i/>
          <w:color w:val="444444"/>
          <w:sz w:val="17"/>
        </w:rPr>
        <w:t>La opción B no es un premio de consolación. El hallazgo de que un cuerpo de evidencia no admite la síntesis que se le viene aplicando es un resultado por derecho propio, y este manuscrito lo demuestra con datos y no con opinión.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