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estructura y la verificabilidad del cuerpo de evidencia clínica</w:t>
      </w:r>
    </w:p>
    <w:p>
      <w:pPr>
        <w:jc w:val="both"/>
      </w:pPr>
      <w:r>
        <w:rPr>
          <w:rFonts w:ascii="Times New Roman" w:hAnsi="Times New Roman"/>
          <w:b/>
          <w:i w:val="0"/>
          <w:sz w:val="22"/>
        </w:rPr>
        <w:t>Danny Valdiviezo</w:t>
      </w:r>
      <w:r>
        <w:rPr>
          <w:rFonts w:ascii="Times New Roman" w:hAnsi="Times New Roman"/>
          <w:b w:val="0"/>
          <w:i w:val="0"/>
          <w:sz w:val="22"/>
        </w:rPr>
        <w:t xml:space="preserve">^1^, </w:t>
      </w:r>
      <w:r>
        <w:rPr>
          <w:rFonts w:ascii="Times New Roman" w:hAnsi="Times New Roman"/>
          <w:b/>
          <w:i w:val="0"/>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i w:val="0"/>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i w:val="0"/>
          <w:sz w:val="22"/>
        </w:rPr>
        <w:t>Recuento de palabras:</w:t>
      </w:r>
      <w:r>
        <w:rPr>
          <w:rFonts w:ascii="Times New Roman" w:hAnsi="Times New Roman"/>
          <w:b w:val="0"/>
          <w:i w:val="0"/>
          <w:sz w:val="22"/>
        </w:rPr>
        <w:t xml:space="preserve"> resumen 262; texto principal 6 792.</w:t>
      </w:r>
    </w:p>
    <w:p>
      <w:pPr>
        <w:jc w:val="both"/>
      </w:pPr>
      <w:r>
        <w:rPr>
          <w:rFonts w:ascii="Times New Roman" w:hAnsi="Times New Roman"/>
          <w:b/>
          <w:i w:val="0"/>
          <w:sz w:val="22"/>
        </w:rPr>
        <w:t>Tablas:</w:t>
      </w:r>
      <w:r>
        <w:rPr>
          <w:rFonts w:ascii="Times New Roman" w:hAnsi="Times New Roman"/>
          <w:b w:val="0"/>
          <w:i w:val="0"/>
          <w:sz w:val="22"/>
        </w:rPr>
        <w:t xml:space="preserve"> 6. </w:t>
      </w:r>
      <w:r>
        <w:rPr>
          <w:rFonts w:ascii="Times New Roman" w:hAnsi="Times New Roman"/>
          <w:b/>
          <w:i w:val="0"/>
          <w:sz w:val="22"/>
        </w:rPr>
        <w:t>Figuras:</w:t>
      </w:r>
      <w:r>
        <w:rPr>
          <w:rFonts w:ascii="Times New Roman" w:hAnsi="Times New Roman"/>
          <w:b w:val="0"/>
          <w:i w:val="0"/>
          <w:sz w:val="22"/>
        </w:rPr>
        <w:t xml:space="preserve"> 2. </w:t>
      </w:r>
      <w:r>
        <w:rPr>
          <w:rFonts w:ascii="Times New Roman" w:hAnsi="Times New Roman"/>
          <w:b/>
          <w:i w:val="0"/>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i w:val="0"/>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i w:val="0"/>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i w:val="0"/>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i w:val="0"/>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i w:val="0"/>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i w:val="0"/>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i w:val="0"/>
          <w:sz w:val="22"/>
        </w:rPr>
        <w:t>no queda ninguno</w:t>
      </w:r>
      <w:r>
        <w:rPr>
          <w:rFonts w:ascii="Times New Roman" w:hAnsi="Times New Roman"/>
          <w:b w:val="0"/>
          <w:i w:val="0"/>
          <w:sz w:val="22"/>
        </w:rPr>
        <w:t>.</w:t>
      </w:r>
    </w:p>
    <w:p>
      <w:pPr>
        <w:jc w:val="both"/>
      </w:pPr>
      <w:r>
        <w:rPr>
          <w:rFonts w:ascii="Times New Roman" w:hAnsi="Times New Roman"/>
          <w:b/>
          <w:i w:val="0"/>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i w:val="0"/>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i w:val="0"/>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i w:val="0"/>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i w:val="0"/>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i w:val="0"/>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i w:val="0"/>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i w:val="0"/>
          <w:sz w:val="22"/>
        </w:rPr>
        <w:t>Idioma.</w:t>
      </w:r>
      <w:r>
        <w:rPr>
          <w:rFonts w:ascii="Times New Roman" w:hAnsi="Times New Roman"/>
          <w:b w:val="0"/>
          <w:i w:val="0"/>
          <w:sz w:val="22"/>
        </w:rPr>
        <w:t xml:space="preserve"> Se admitieron informes redactados en inglés o en español. </w:t>
      </w:r>
      <w:r>
        <w:rPr>
          <w:rFonts w:ascii="Times New Roman" w:hAnsi="Times New Roman"/>
          <w:b/>
          <w:i w:val="0"/>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i w:val="0"/>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i w:val="0"/>
          <w:sz w:val="22"/>
        </w:rPr>
        <w:t>Unidad de inclusión.</w:t>
      </w:r>
      <w:r>
        <w:rPr>
          <w:rFonts w:ascii="Times New Roman" w:hAnsi="Times New Roman"/>
          <w:b w:val="0"/>
          <w:i w:val="0"/>
          <w:sz w:val="22"/>
        </w:rPr>
        <w:t xml:space="preserve"> El </w:t>
      </w:r>
      <w:r>
        <w:rPr>
          <w:rFonts w:ascii="Times New Roman" w:hAnsi="Times New Roman"/>
          <w:b/>
          <w:i w:val="0"/>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i w:val="0"/>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i w:val="0"/>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i w:val="0"/>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i w:val="0"/>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i w:val="0"/>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i w:val="0"/>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i w:val="0"/>
          <w:sz w:val="22"/>
        </w:rPr>
        <w:t>etapa 2</w:t>
      </w:r>
      <w:r>
        <w:rPr>
          <w:rFonts w:ascii="Times New Roman" w:hAnsi="Times New Roman"/>
          <w:b w:val="0"/>
          <w:i w:val="0"/>
          <w:sz w:val="22"/>
        </w:rPr>
        <w:t xml:space="preserve"> cribó títulos y la </w:t>
      </w:r>
      <w:r>
        <w:rPr>
          <w:rFonts w:ascii="Times New Roman" w:hAnsi="Times New Roman"/>
          <w:b/>
          <w:i w:val="0"/>
          <w:sz w:val="22"/>
        </w:rPr>
        <w:t>etapa 3</w:t>
      </w:r>
      <w:r>
        <w:rPr>
          <w:rFonts w:ascii="Times New Roman" w:hAnsi="Times New Roman"/>
          <w:b w:val="0"/>
          <w:i w:val="0"/>
          <w:sz w:val="22"/>
        </w:rPr>
        <w:t xml:space="preserve">, resúmenes. Ambas usaron un </w:t>
      </w:r>
      <w:r>
        <w:rPr>
          <w:rFonts w:ascii="Times New Roman" w:hAnsi="Times New Roman"/>
          <w:b/>
          <w:i w:val="0"/>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i w:val="0"/>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i w:val="0"/>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i w:val="0"/>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i w:val="0"/>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i w:val="0"/>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i w:val="0"/>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i w:val="0"/>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i w:val="0"/>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pPr>
        <w:jc w:val="both"/>
      </w:pPr>
      <w:r>
        <w:rPr>
          <w:rFonts w:ascii="Times New Roman" w:hAnsi="Times New Roman"/>
          <w:b w:val="0"/>
          <w:i w:val="0"/>
          <w:sz w:val="22"/>
        </w:rPr>
        <w:t xml:space="preserve">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rFonts w:ascii="Times New Roman" w:hAnsi="Times New Roman"/>
          <w:b/>
          <w:i w:val="0"/>
          <w:sz w:val="22"/>
        </w:rPr>
        <w:t>verificabilidad</w:t>
      </w:r>
      <w:r>
        <w:rPr>
          <w:rFonts w:ascii="Times New Roman" w:hAnsi="Times New Roman"/>
          <w:b w:val="0"/>
          <w:i w:val="0"/>
          <w:sz w:val="22"/>
        </w:rPr>
        <w:t>,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i w:val="0"/>
          <w:sz w:val="22"/>
        </w:rPr>
        <w:t>solo en los estudios con diseño comparativo y solo en aquellos cuyo texto completo se obtuvo</w:t>
      </w:r>
      <w:r>
        <w:rPr>
          <w:rFonts w:ascii="Times New Roman" w:hAnsi="Times New Roman"/>
          <w:b w:val="0"/>
          <w:i w:val="0"/>
          <w:sz w:val="22"/>
        </w:rPr>
        <w:t>: 11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i w:val="0"/>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i w:val="0"/>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i w:val="0"/>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i w:val="0"/>
          <w:sz w:val="22"/>
        </w:rPr>
        <w:t>35 informes</w:t>
      </w:r>
      <w:r>
        <w:rPr>
          <w:rFonts w:ascii="Times New Roman" w:hAnsi="Times New Roman"/>
          <w:b w:val="0"/>
          <w:i w:val="0"/>
          <w:sz w:val="22"/>
        </w:rPr>
        <w:t xml:space="preserve"> y con ellos </w:t>
      </w:r>
      <w:r>
        <w:rPr>
          <w:rFonts w:ascii="Times New Roman" w:hAnsi="Times New Roman"/>
          <w:b/>
          <w:i w:val="0"/>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i w:val="0"/>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i w:val="0"/>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i w:val="0"/>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i w:val="0"/>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i w:val="0"/>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i w:val="0"/>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i w:val="0"/>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nueve fuentes aportaron </w:t>
      </w:r>
      <w:r>
        <w:rPr>
          <w:rFonts w:ascii="Times New Roman" w:hAnsi="Times New Roman"/>
          <w:b/>
          <w:i w:val="0"/>
          <w:sz w:val="22"/>
        </w:rPr>
        <w:t>23 057 registros</w:t>
      </w:r>
      <w:r>
        <w:rPr>
          <w:rFonts w:ascii="Times New Roman" w:hAnsi="Times New Roman"/>
          <w:b w:val="0"/>
          <w:i w:val="0"/>
          <w:sz w:val="22"/>
        </w:rPr>
        <w:t xml:space="preserve">, de los que se eliminaron 5 928 duplicados para dejar </w:t>
      </w:r>
      <w:r>
        <w:rPr>
          <w:rFonts w:ascii="Times New Roman" w:hAnsi="Times New Roman"/>
          <w:b/>
          <w:i w:val="0"/>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i w:val="0"/>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i w:val="0"/>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i w:val="0"/>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i w:val="0"/>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i w:val="0"/>
          <w:sz w:val="22"/>
        </w:rPr>
        <w:t>Veinticuatro</w:t>
      </w:r>
      <w:r>
        <w:rPr>
          <w:rFonts w:ascii="Times New Roman" w:hAnsi="Times New Roman"/>
          <w:b w:val="0"/>
          <w:i w:val="0"/>
          <w:sz w:val="22"/>
        </w:rPr>
        <w:t xml:space="preserve"> salieron de leer su artículo. </w:t>
      </w:r>
      <w:r>
        <w:rPr>
          <w:rFonts w:ascii="Times New Roman" w:hAnsi="Times New Roman"/>
          <w:b/>
          <w:i w:val="0"/>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i w:val="0"/>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i w:val="0"/>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i w:val="0"/>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i w:val="0"/>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i w:val="0"/>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i w:val="0"/>
          <w:sz w:val="22"/>
        </w:rPr>
        <w:t>cuatro restantes</w:t>
      </w:r>
      <w:r>
        <w:rPr>
          <w:rFonts w:ascii="Times New Roman" w:hAnsi="Times New Roman"/>
          <w:b w:val="0"/>
          <w:i w:val="0"/>
          <w:sz w:val="22"/>
        </w:rPr>
        <w:t xml:space="preserve"> salieron por </w:t>
      </w:r>
      <w:r>
        <w:rPr>
          <w:rFonts w:ascii="Times New Roman" w:hAnsi="Times New Roman"/>
          <w:b/>
          <w:i w:val="0"/>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i w:val="0"/>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i w:val="0"/>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i w:val="0"/>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i w:val="0"/>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i w:val="0"/>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i w:val="0"/>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i w:val="0"/>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i w:val="0"/>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i w:val="0"/>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i w:val="0"/>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i w:val="0"/>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i w:val="0"/>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i w:val="0"/>
          <w:sz w:val="22"/>
        </w:rPr>
        <w:t>2016 y 2026</w:t>
      </w:r>
      <w:r>
        <w:rPr>
          <w:rFonts w:ascii="Times New Roman" w:hAnsi="Times New Roman"/>
          <w:b w:val="0"/>
          <w:i w:val="0"/>
          <w:sz w:val="22"/>
        </w:rPr>
        <w:t xml:space="preserve">, y el </w:t>
      </w:r>
      <w:r>
        <w:rPr>
          <w:rFonts w:ascii="Times New Roman" w:hAnsi="Times New Roman"/>
          <w:b/>
          <w:i w:val="0"/>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i w:val="0"/>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i w:val="0"/>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clase de resistencia</w:t>
      </w:r>
      <w:r>
        <w:rPr>
          <w:rFonts w:ascii="Times New Roman" w:hAnsi="Times New Roman"/>
          <w:b w:val="0"/>
          <w:i w:val="0"/>
          <w:sz w:val="22"/>
        </w:rPr>
        <w:t xml:space="preserve"> (MDR, XDR o PDR) no puede asignarse en el </w:t>
      </w:r>
      <w:r>
        <w:rPr>
          <w:rFonts w:ascii="Times New Roman" w:hAnsi="Times New Roman"/>
          <w:b/>
          <w:i w:val="0"/>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vía de administración</w:t>
      </w:r>
      <w:r>
        <w:rPr>
          <w:rFonts w:ascii="Times New Roman" w:hAnsi="Times New Roman"/>
          <w:b w:val="0"/>
          <w:i w:val="0"/>
          <w:sz w:val="22"/>
        </w:rPr>
        <w:t xml:space="preserve"> no consta en el </w:t>
      </w:r>
      <w:r>
        <w:rPr>
          <w:rFonts w:ascii="Times New Roman" w:hAnsi="Times New Roman"/>
          <w:b/>
          <w:i w:val="0"/>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i w:val="0"/>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i w:val="0"/>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i w:val="0"/>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i w:val="0"/>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i w:val="0"/>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19 de los 103 brazos no puede clasificarse —12 en que los dos revisores acordaron «NA» y 7 que siguen abiertos—, de modo que los recuentos por diseño son suelos sobre los 84 restantes. De esos 84, </w:t>
      </w:r>
      <w:r>
        <w:rPr>
          <w:rFonts w:ascii="Times New Roman" w:hAnsi="Times New Roman"/>
          <w:b/>
          <w:i w:val="0"/>
          <w:sz w:val="22"/>
        </w:rPr>
        <w:t>7 brazos son ensayos</w:t>
      </w:r>
      <w:r>
        <w:rPr>
          <w:rFonts w:ascii="Times New Roman" w:hAnsi="Times New Roman"/>
          <w:b w:val="0"/>
          <w:i w:val="0"/>
          <w:sz w:val="22"/>
        </w:rPr>
        <w:t xml:space="preserve"> (aleatorizados o no) y </w:t>
      </w:r>
      <w:r>
        <w:rPr>
          <w:rFonts w:ascii="Times New Roman" w:hAnsi="Times New Roman"/>
          <w:b/>
          <w:i w:val="0"/>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i w:val="0"/>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i w:val="0"/>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i w:val="0"/>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i w:val="0"/>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i w:val="0"/>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i w:val="0"/>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i w:val="0"/>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i w:val="0"/>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i w:val="0"/>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i w:val="0"/>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i w:val="0"/>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i w:val="0"/>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i w:val="0"/>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i w:val="0"/>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i w:val="0"/>
          <w:sz w:val="22"/>
        </w:rPr>
        <w:t>Fortalezas.</w:t>
      </w:r>
      <w:r>
        <w:rPr>
          <w:rFonts w:ascii="Times New Roman" w:hAnsi="Times New Roman"/>
          <w:b w:val="0"/>
          <w:i w:val="0"/>
          <w:sz w:val="22"/>
        </w:rP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i w:val="0"/>
          <w:sz w:val="22"/>
        </w:rPr>
        <w:t>Limitaciones.</w:t>
      </w:r>
      <w:r>
        <w:rPr>
          <w:rFonts w:ascii="Times New Roman" w:hAnsi="Times New Roman"/>
          <w:b w:val="0"/>
          <w:i w:val="0"/>
          <w:sz w:val="22"/>
        </w:rPr>
        <w:t xml:space="preserve"> Son seis y todas materiales. </w:t>
      </w:r>
      <w:r>
        <w:rPr>
          <w:rFonts w:ascii="Times New Roman" w:hAnsi="Times New Roman"/>
          <w:b/>
          <w:i w:val="0"/>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i w:val="0"/>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i w:val="0"/>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i w:val="0"/>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i w:val="0"/>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i w:val="0"/>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i w:val="0"/>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i w:val="0"/>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i w:val="0"/>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i w:val="0"/>
          <w:sz w:val="22"/>
        </w:rPr>
        <w:t>Contribución de los autores (CRediT).</w:t>
      </w:r>
      <w:r>
        <w:rPr>
          <w:rFonts w:ascii="Times New Roman" w:hAnsi="Times New Roman"/>
          <w:b w:val="0"/>
          <w:i w:val="0"/>
          <w:sz w:val="22"/>
        </w:rPr>
        <w:t xml:space="preserve"> </w:t>
      </w:r>
      <w:r>
        <w:rPr>
          <w:rFonts w:ascii="Times New Roman" w:hAnsi="Times New Roman"/>
          <w:b/>
          <w:i w:val="0"/>
          <w:sz w:val="22"/>
        </w:rPr>
        <w:t>D. Valdiviezo:</w:t>
      </w:r>
      <w:r>
        <w:rPr>
          <w:rFonts w:ascii="Times New Roman" w:hAnsi="Times New Roman"/>
          <w:b w:val="0"/>
          <w:i w:val="0"/>
          <w:sz w:val="22"/>
        </w:rP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rFonts w:ascii="Times New Roman" w:hAnsi="Times New Roman"/>
          <w:b/>
          <w:i w:val="0"/>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i w:val="0"/>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i w:val="0"/>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i w:val="0"/>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i w:val="0"/>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i w:val="0"/>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i w:val="0"/>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i w:val="0"/>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i w:val="0"/>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i w:val="0"/>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i w:val="0"/>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i w:val="0"/>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56</w:t>
            </w:r>
          </w:p>
        </w:tc>
        <w:tc>
          <w:tcPr>
            <w:tcW w:type="dxa" w:w="1805"/>
          </w:tcPr>
          <w:p>
            <w:r/>
            <w:r>
              <w:rPr>
                <w:rFonts w:ascii="Times New Roman" w:hAnsi="Times New Roman"/>
                <w:b w:val="0"/>
                <w:i w:val="0"/>
                <w:sz w:val="18"/>
              </w:rPr>
              <w:t>54.4</w:t>
            </w:r>
          </w:p>
        </w:tc>
        <w:tc>
          <w:tcPr>
            <w:tcW w:type="dxa" w:w="1805"/>
          </w:tcPr>
          <w:p>
            <w:r/>
            <w:r>
              <w:rPr>
                <w:rFonts w:ascii="Times New Roman" w:hAnsi="Times New Roman"/>
                <w:b w:val="0"/>
                <w:i w:val="0"/>
                <w:sz w:val="18"/>
              </w:rPr>
              <w:t>69.6</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77.7</w:t>
            </w:r>
          </w:p>
        </w:tc>
        <w:tc>
          <w:tcPr>
            <w:tcW w:type="dxa" w:w="1805"/>
          </w:tcPr>
          <w:p>
            <w:r/>
            <w:r>
              <w:rPr>
                <w:rFonts w:ascii="Times New Roman" w:hAnsi="Times New Roman"/>
                <w:b w:val="0"/>
                <w:i w:val="0"/>
                <w:sz w:val="18"/>
              </w:rPr>
              <w:t>88.6</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i w:val="0"/>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16</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i w:val="0"/>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i w:val="0"/>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