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11 de agosto de 2026.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cribado por un solo revisor con reglas explícitas y auditoría de controles positivos. Declarado como limitación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en curso, no concluida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y 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depende del texto completo. Se reportará con la extracción definitiva. Declarado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efecto; ver §2.6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§3.5,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60 de 219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§2.7; pendiente de la extracción definitiva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S3 recoge los motivos de las etapas 1 a 3 con vocabulario cerrado; la exclusión en texto completo se producirá con la extracción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Pendiente;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Ver §2.6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§3.5; la síntesis es de estructura y reporte, no de eficacia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Pendiente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34 estudios eliminados, 17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19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CUMPLE: 6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