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structure and verifiability of the clinical evidence base</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246; main text 3 581.</w:t>
      </w:r>
    </w:p>
    <w:p>
      <w:r>
        <w:rPr>
          <w:b/>
        </w:rPr>
        <w:t>Tables:</w:t>
      </w:r>
      <w:r>
        <w:t xml:space="preserve"> 4. </w:t>
      </w:r>
      <w:r>
        <w:rPr>
          <w:b/>
        </w:rPr>
        <w:t>Figures:</w:t>
      </w:r>
      <w:r>
        <w:t xml:space="preserve"> 2. </w:t>
      </w:r>
      <w:r>
        <w:rPr>
          <w:b/>
        </w:rPr>
        <w:t>Supplementary files:</w:t>
      </w:r>
      <w:r>
        <w:t xml:space="preserve"> 6.</w:t>
      </w:r>
    </w:p>
    <w:p>
      <w:pPr>
        <w:pStyle w:val="Heading1"/>
      </w:pPr>
      <w:r>
        <w:t>Abstract</w:t>
      </w:r>
    </w:p>
    <w:p>
      <w:r>
        <w:rPr>
          <w:b/>
        </w:rPr>
        <w:t>Background.</w:t>
      </w:r>
      <w:r>
        <w:t xml:space="preserve"> Multidrug-resistant </w:t>
      </w:r>
      <w:r>
        <w:rPr>
          <w:i/>
        </w:rPr>
        <w:t>Pseudomonas aeruginosa</w:t>
      </w:r>
      <w:r>
        <w:t xml:space="preserve"> is a WHO critical-priority pathogen. Several recent syntheses have pooled phage therapy outcomes into overall success proportions. Doing so assumes this evidence base can be aggregated, and that assumption has never been examined.</w:t>
      </w:r>
    </w:p>
    <w:p>
      <w:r>
        <w:rPr>
          <w:b/>
        </w:rPr>
        <w:t>Objectives.</w:t>
      </w:r>
      <w:r>
        <w:t xml:space="preserve"> To delimit the clinical literature on phage therapy for resistant </w:t>
      </w:r>
      <w:r>
        <w:rPr>
          <w:i/>
        </w:rPr>
        <w:t>P. aeruginosa</w:t>
      </w:r>
      <w:r>
        <w:t xml:space="preserve"> reproducibly, and to determine whether its structure and reporting completeness permit a quantitative synthesis of efficacy.</w:t>
      </w:r>
    </w:p>
    <w:p>
      <w:r>
        <w:rPr>
          <w:b/>
        </w:rPr>
        <w:t>Methods.</w:t>
      </w:r>
      <w:r>
        <w:t xml:space="preserve"> Systematic review following PRISMA 2020, with separate streams for databases and trial registers. Nine sources were searched without date restriction, including the regional databases BVS and SciELO. Only reports in English or Spanish were eligible, a criterion adopted after screening closed and verified report by report, including against the full text of every retrieved PDF. The unit of inclusion was the study, not the report.</w:t>
      </w:r>
    </w:p>
    <w:p>
      <w:r>
        <w:rPr>
          <w:b/>
        </w:rPr>
        <w:t>Results.</w:t>
      </w:r>
      <w:r>
        <w:t xml:space="preserve"> From 23 057 records, 17 129 unique reports remained. Full-text assessment covered 234 reports, which grouped into 185 studies; 125 of these have a retrievable publication. Single case reports account for 39.2 % and only 19.2 % are comparative designs. Geographic origin is not stated in 60.8 % and resistance class is not stated in 70.4 %. Full text was obtained for 62 studies (49.6 %); the remaining fraction concentrates 70.8 % of the comparative designs. The language criterion removed 34 studies, 17 of them comparative.</w:t>
      </w:r>
    </w:p>
    <w:p>
      <w:r>
        <w:rPr>
          <w:b/>
        </w:rPr>
        <w:t>Conclusions.</w:t>
      </w:r>
      <w:r>
        <w:t xml:space="preserve"> This evidence base is simultaneously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[@Tacconelli2018_who; @WHO2024_bppl].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@Krakhotkin2025_currurol].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and reporting completeness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This review was conducted following the PRISMA 2020 statement [@Page2021_prisma]. The completed checklist accompanies the manuscript as supplementary material.</w:t>
      </w:r>
    </w:p>
    <w:p>
      <w:r>
        <w:rPr>
          <w:b/>
        </w:rPr>
        <w:t>This review is not registered</w:t>
      </w:r>
      <w:r>
        <w:t xml:space="preserve"> in PROSPERO or OSF. The absence is declared rather than omitted because prospective registration guards against </w:t>
      </w:r>
      <w:r>
        <w:rPr>
          <w:i/>
        </w:rPr>
        <w:t>post hoc</w:t>
      </w:r>
      <w:r>
        <w:t xml:space="preserve"> modification of outcomes, and its absence is information readers need in order to calibrate the review. The protocol, the methodological decisions and their dates were recorded immutably in the working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62 studies with a retrieved PDF the language was checked against the </w:t>
      </w:r>
      <w:r>
        <w:rPr>
          <w:b/>
        </w:rPr>
        <w:t>full text</w:t>
      </w:r>
      <w:r>
        <w:t>, analysing the central pages rather than the front matter, which many journals publish in English even when the body is not. That check exposed two reports whose metadata declared English and whose text is in Russian; both were excluded. The 234 included reports rest on one of three classes of evidence: 205 on analysis of their own text, 26 on the language rule of the trial register that publishes them, and 3 on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Nine sources were searched across the two streams PRISMA 2020 requires to be kept separate. As </w:t>
      </w:r>
      <w:r>
        <w:rPr>
          <w:b/>
        </w:rPr>
        <w:t>bibliographic databases</w:t>
      </w:r>
      <w:r>
        <w:t xml:space="preserve">: PubMed, Scopus in two arms (one organism-first, one intervention-first), Cochrane CENTRAL, BVS including LILACS, CUMED, BINACIS and MedCarib, and SciELO. As </w:t>
      </w:r>
      <w:r>
        <w:rPr>
          <w:b/>
        </w:rPr>
        <w:t>trial registers</w:t>
      </w:r>
      <w:r>
        <w:t>: ClinicalTrials.gov, EudraCT and CTIS. No language, date or publication-type restriction was applied. The final run was on 10 August 2026.</w:t>
      </w:r>
    </w:p>
    <w:p>
      <w:r>
        <w:t>Full search strings are supplied as supplementary material, with the literal syntax of each interface, the number of hits and the date each was run. Including BVS and SciELO was a deliberate choice. Clinical experience with phages published in Eastern Europe and Latin America is systematically under-represented in PubMed and Scopus, and leaving it out would have tilted the review towards the anglophone literature without saying so.</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for a human to read.</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pPr>
        <w:pStyle w:val="Heading2"/>
      </w:pPr>
      <w:r>
        <w:t>2.6 Data extraction</w:t>
      </w:r>
    </w:p>
    <w:p>
      <w:r>
        <w:t xml:space="preserve">The extraction form, with 31 variables and controlled vocabularies, was piloted on five studies before use. Extraction is planned to be </w:t>
      </w:r>
      <w:r>
        <w:rPr>
          <w:b/>
        </w:rPr>
        <w:t>independent and in duplicate</w:t>
      </w:r>
      <w:r>
        <w:t xml:space="preserve"> between the two reviewers, with disagreements resolved by consensus and agreement quantified variable by variable (Cohen's kappa).</w:t>
      </w:r>
    </w:p>
    <w:p>
      <w:r>
        <w:rPr>
          <w:b/>
        </w:rPr>
        <w:t>Status at the time of this report.</w:t>
      </w:r>
      <w:r>
        <w:t xml:space="preserve"> Duplicate extraction is under way and </w:t>
      </w:r>
      <w:r>
        <w:rPr>
          <w:b/>
        </w:rPr>
        <w:t>has not concluded</w:t>
      </w:r>
      <w:r>
        <w:t xml:space="preserve">. The data reported here come from a systematic pre-extraction from the abstracts of the 159 studies with a retrievable publication, performed with the same variable schema and explicitly flagged as partial in every record. Accordingly, </w:t>
      </w:r>
      <w:r>
        <w:rPr>
          <w:b/>
        </w:rPr>
        <w:t>this report presents no efficacy estimates</w:t>
      </w:r>
      <w:r>
        <w:t>. It presents the structure of the evidence base and its reporting completeness, which is what the pre-extraction does support. Outcome variables will be reported once duplicate extraction is complete.</w:t>
      </w:r>
    </w:p>
    <w:p>
      <w:pPr>
        <w:pStyle w:val="Heading2"/>
      </w:pPr>
      <w:r>
        <w:t>2.7 Risk of bias and certainty</w:t>
      </w:r>
    </w:p>
    <w:p>
      <w:r>
        <w:t>Risk of bias was to be assessed with RoB 2 for randomised trials [@Sterne2019_rob2], ROBINS-I for non-randomised studies [@Sterne2016_robinsi] and the Murad domains for case reports and series [@Murad2018_casereports; @Munn2020_jbicaseseries], and certainty with GRADE [@Guyatt2011_grade]. These assessments depend on full text and will be reported with the definitive extraction.</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3.5.</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Protocol amendment: the language criterion</w:t>
      </w:r>
    </w:p>
    <w:p>
      <w:r>
        <w:t>On 11 August 2026, with screening complete and 219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34 reports</w:t>
      </w:r>
      <w:r>
        <w:t xml:space="preserve"> and with them </w:t>
      </w:r>
      <w:r>
        <w:rPr>
          <w:b/>
        </w:rPr>
        <w:t>34 whole studies</w:t>
      </w:r>
      <w:r>
        <w:t>, none of which retained a report in an admissible language. The corpus fell from 219 to 185 studies and from 159 to 125 studies with a retrievable publication. The loss was not evenly spread: of 41 comparative designs, 24 remained, and of 21 randomised trials, 16.</w:t>
      </w:r>
    </w:p>
    <w:p>
      <w:r>
        <w:t>Two of those 34 were detected only by reading the PDF. Their metadata declared English; their full text is in Russian, with Cyrillic dominating the body of the article. Had verification stopped at the source language field, both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pPr>
        <w:pStyle w:val="Heading1"/>
      </w:pPr>
      <w:r>
        <w:t>3. Results</w:t>
      </w:r>
    </w:p>
    <w:p>
      <w:pPr>
        <w:pStyle w:val="Heading2"/>
      </w:pPr>
      <w:r>
        <w:t>3.1 Study selection</w:t>
      </w:r>
    </w:p>
    <w:p>
      <w:r>
        <w:t xml:space="preserve">The nine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226 were excluded and </w:t>
      </w:r>
      <w:r>
        <w:rPr>
          <w:b/>
        </w:rPr>
        <w:t>234 reports proceeded to full text</w:t>
      </w:r>
      <w:r>
        <w:t xml:space="preserve">. Grouped by study, those 234 reports correspond to </w:t>
      </w:r>
      <w:r>
        <w:rPr>
          <w:b/>
        </w:rPr>
        <w:t>185 studies</w:t>
      </w:r>
      <w:r>
        <w:t>: 155 with a single report and 30 with several, up to a maximum of eleven reports of one trial.</w:t>
      </w:r>
    </w:p>
    <w:p>
      <w:r>
        <w:t xml:space="preserve">Of the 185 studies, </w:t>
      </w:r>
      <w:r>
        <w:rPr>
          <w:b/>
        </w:rPr>
        <w:t>125 have a retrievable publication</w:t>
      </w:r>
      <w:r>
        <w:t xml:space="preserve">: 122 articles and 3 that exist only as conference abstracts. The remaining </w:t>
      </w:r>
      <w:r>
        <w:rPr>
          <w:b/>
        </w:rPr>
        <w:t>60 are trial registry entries alone</w:t>
      </w:r>
      <w:r>
        <w:t>, with no locatable associated publication. That figure by itself describes a field in which almost one study in three has been registered but has never published results.</w:t>
      </w:r>
    </w:p>
    <w:p>
      <w:r>
        <w:t xml:space="preserve">Exclusion reasons at title screening were laboratory or preclinical work (4 062), other organism without a separable subgroup (3 031), review or commentary without primary data (2 807), does not evaluate phage therapy in patients (2 634), veterinary scope (838) and secondary synthesis (84). At abstract screening: other organism (65), review or commentary (64), does not evaluate phage therapy (40), </w:t>
      </w:r>
      <w:r>
        <w:rPr>
          <w:b/>
        </w:rPr>
        <w:t>inadmissible language (34)</w:t>
      </w:r>
      <w:r>
        <w:t>, laboratory (18) and secondary synthesis (5).</w:t>
      </w:r>
    </w:p>
    <w:p>
      <w:pPr>
        <w:pStyle w:val="Heading2"/>
      </w:pPr>
      <w:r>
        <w:t>3.2 Full-text retrieval and its bias</w:t>
      </w:r>
    </w:p>
    <w:p>
      <w:r>
        <w:t xml:space="preserve">Full text was obtained for </w:t>
      </w:r>
      <w:r>
        <w:rPr>
          <w:b/>
        </w:rPr>
        <w:t>62 of the 125 retrievable studies (49.6 %)</w:t>
      </w:r>
      <w:r>
        <w:t xml:space="preserve"> through legitimate open-access routes. The remaining 63 require interlibrary loan, institutional access or a request to the authors.</w:t>
      </w:r>
    </w:p>
    <w:p>
      <w:r>
        <w:t xml:space="preserve">The unretrieved fraction </w:t>
      </w:r>
      <w:r>
        <w:rPr>
          <w:b/>
        </w:rPr>
        <w:t>is not a random sample of the whole</w:t>
      </w:r>
      <w:r>
        <w:t xml:space="preserve"> (Table 3). It contains 17 of the 24 comparative studies, </w:t>
      </w:r>
      <w:r>
        <w:rPr>
          <w:b/>
        </w:rPr>
        <w:t>70.8 %</w:t>
      </w:r>
      <w:r>
        <w:t>, and reports more patients than the retrieved fraction. Among those unread comparative studies are the four most-cited randomised trials in the field [@Jault2019_phagoburn; @Leitner2021_lancetid_pyophage; @Stanley2025_themicrobe_cyphy; @Onallah2023_med].</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125 retrievable studies were published between </w:t>
      </w:r>
      <w:r>
        <w:rPr>
          <w:b/>
        </w:rPr>
        <w:t>2016 and 2026</w:t>
      </w:r>
      <w:r>
        <w:t xml:space="preserve">, and </w:t>
      </w:r>
      <w:r>
        <w:rPr>
          <w:b/>
        </w:rPr>
        <w:t>83.2 %</w:t>
      </w:r>
      <w:r>
        <w:t xml:space="preserve"> since 2020. This is a young and rapidly expanding evidence base (Table 1).</w:t>
      </w:r>
    </w:p>
    <w:p>
      <w:r>
        <w:t xml:space="preserve">Its composition by design is what a rescue literature produces, not what a synthesis of efficacy needs: </w:t>
      </w:r>
      <w:r>
        <w:rPr>
          <w:b/>
        </w:rPr>
        <w:t>49 single case reports (39.2 %)</w:t>
      </w:r>
      <w:r>
        <w:t xml:space="preserve">, 19 case series, 16 randomised trials, 13 prospective cohorts, 8 non-randomised trials and 4 retrospective cohorts. A further 16 do not state a recognisable design in the abstract. Comparative designs total </w:t>
      </w:r>
      <w:r>
        <w:rPr>
          <w:b/>
        </w:rPr>
        <w:t>24 studies, 19.2 %</w:t>
      </w:r>
      <w:r>
        <w:t xml:space="preserve"> of the whole, and are the only ones able to sustain a claim of relative efficacy.</w:t>
      </w:r>
    </w:p>
    <w:p>
      <w:r>
        <w:t>Where stated, geographic origin is spread across Russia (8 studies), Poland and Georgia (6 each), Germany (4), France and the United States (3 each), and Belgium, Spain and India (2 each). It is not stated in 76 studies. The fall in Russian representation relative to the pre-amendment corpus, from 34 studies to 8,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is not stated in </w:t>
      </w:r>
      <w:r>
        <w:rPr>
          <w:b/>
        </w:rPr>
        <w:t>70.4 %</w:t>
      </w:r>
      <w:r>
        <w:t xml:space="preserve"> of studies.</w:t>
      </w:r>
    </w:p>
    <w:p>
      <w:pPr>
        <w:pStyle w:val="ListBullet"/>
      </w:pPr>
      <w:r>
        <w:rPr>
          <w:b/>
        </w:rPr>
        <w:t>Route of administration</w:t>
      </w:r>
      <w:r>
        <w:t xml:space="preserve"> is not stated in </w:t>
      </w:r>
      <w:r>
        <w:rPr>
          <w:b/>
        </w:rPr>
        <w:t>56.8 %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52.8 %</w:t>
      </w:r>
      <w:r>
        <w:t>.</w:t>
      </w:r>
    </w:p>
    <w:p>
      <w:pPr>
        <w:pStyle w:val="ListBullet"/>
      </w:pPr>
      <w:r>
        <w:t xml:space="preserve">Fulfilment of the </w:t>
      </w:r>
      <w:r>
        <w:rPr>
          <w:b/>
        </w:rPr>
        <w:t>DTR</w:t>
      </w:r>
      <w:r>
        <w:t xml:space="preserve"> criterion (difficult-to-treat resistance) is not stated in </w:t>
      </w:r>
      <w:r>
        <w:rPr>
          <w:b/>
        </w:rPr>
        <w:t>98.4 %</w:t>
      </w:r>
      <w:r>
        <w:t>.</w:t>
      </w:r>
    </w:p>
    <w:p>
      <w:r>
        <w:t>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w:t>
      </w:r>
    </w:p>
    <w:p>
      <w:pPr>
        <w:pStyle w:val="Heading2"/>
      </w:pPr>
      <w:r>
        <w:t>3.5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In this literature "clinical success" ranges from resolution of a fistula at two years to absence of fever at three days. Without a shared definition, the pooled proportion adds numerators that do not count the same events.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nine sources, no language restriction, regional literature and trial registers included. The result is 185 studies against the dozens handled by published reviews, and would have been 219 without the language restriction adopted at the end.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Seven in ten do not state the resistance category by which stratification is attempted.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@Krakhotkin2025_currurol].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60 of 185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nine sources across two separate streams,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five, and all are material. </w:t>
      </w:r>
      <w:r>
        <w:rPr>
          <w:b/>
        </w:rPr>
        <w:t>First</w:t>
      </w:r>
      <w:r>
        <w:t xml:space="preserve">, the review is not prospectively registered. </w:t>
      </w:r>
      <w:r>
        <w:rPr>
          <w:b/>
        </w:rPr>
        <w:t>Second</w:t>
      </w:r>
      <w:r>
        <w:t xml:space="preserve">, duplicate extraction has not concluded, so this report presents no outcomes, no risk-of-bias assessment and no GRADE certainty. It is a characterisation of the evidence base, not a synthesis of its results. </w:t>
      </w:r>
      <w:r>
        <w:rPr>
          <w:b/>
        </w:rPr>
        <w:t>Third</w:t>
      </w:r>
      <w:r>
        <w:t xml:space="preserve">, full text was obtained for 49.6 % of the retrievable studies, and the missing fraction is enriched in comparative designs, so what is described here under-represents the comparative part of the field. </w:t>
      </w:r>
      <w:r>
        <w:rPr>
          <w:b/>
        </w:rPr>
        <w:t>Fourth</w:t>
      </w:r>
      <w:r>
        <w:t xml:space="preserve">, screening was performed by a single reviewer supported by explicit rules, with a positive-control audit but without independent duplication. Duplication is planned for the extraction stage. </w:t>
      </w:r>
      <w:r>
        <w:rPr>
          <w:b/>
        </w:rPr>
        <w:t>Fifth</w:t>
      </w:r>
      <w:r>
        <w:t>, the restriction to English and Spanish was adopted once screening had closed, and removed 34 studies, 17 of them comparative and one belonging to the positive-control set. It pushes the corpus in the same direction as the retrieval bias and narrows what this review can say about the literature of Eastern Europe, which is where comparative designs concentrate.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Competing interests.</w:t>
      </w:r>
      <w:r>
        <w:t xml:space="preserve"> The authors declare no competing interests.</w:t>
      </w:r>
    </w:p>
    <w:p>
      <w:r>
        <w:rPr>
          <w:b/>
        </w:rPr>
        <w:t>Author contributions.</w:t>
      </w:r>
      <w:r>
        <w:t xml:space="preserve"> [To be completed under CRediT before submission.]</w:t>
      </w:r>
    </w:p>
    <w:p>
      <w:r>
        <w:rPr>
          <w:b/>
        </w:rPr>
        <w:t>Data and code availability.</w:t>
      </w:r>
      <w:r>
        <w:t xml:space="preserve"> The screening corpus, the complete decision logs, the extraction form and all pipeline code are available in the project repository. Decision logs are append-only and retain every correction.</w:t>
      </w:r>
    </w:p>
    <w:p>
      <w:r>
        <w:rPr>
          <w:b/>
        </w:rPr>
        <w:t>Use of artificial intelligence.</w:t>
      </w:r>
      <w:r>
        <w:t xml:space="preserve"> Generative artificial intelligence tools (Claude, Anthropic) were used in preparing this work to assist with programming the screening pipeline, with pre-extraction from abstracts, and with drafting. The authors reviewed and verified all content and take full responsibility for its accuracy and integrity. No AI tool is listed as an author, in line with ICMJE recommendations.</w:t>
      </w:r>
    </w:p>
    <w:p>
      <w:r>
        <w:rPr>
          <w:b/>
        </w:rPr>
        <w:t>Acknowledgements.</w:t>
      </w:r>
      <w:r>
        <w:t xml:space="preserve"> [To be completed.]</w:t>
      </w:r>
    </w:p>
    <w:p>
      <w:pPr>
        <w:pStyle w:val="Heading1"/>
      </w:pPr>
      <w:r>
        <w:t>Tables and figures</w:t>
      </w:r>
    </w:p>
    <w:p>
      <w:r>
        <w:t>The four tables are supplied as separate files (`paper/tablas/`), each with its own footnote. Both figures are supplied as vector PDF (`paper/figuras/`).</w:t>
      </w:r>
    </w:p>
    <w:p>
      <w:r>
        <w:rPr>
          <w:b/>
        </w:rPr>
        <w:t>Table 1.</w:t>
      </w:r>
      <w:r>
        <w:t xml:space="preserve"> Characteristics of the retrievable evidence base (n = 159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159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159 studies with a retrievable publication.</w:t>
      </w:r>
    </w:p>
    <w:p>
      <w:pPr>
        <w:pStyle w:val="Heading1"/>
      </w:pPr>
      <w:r>
        <w:t>Supplementary material</w:t>
      </w:r>
    </w:p>
    <w:p>
      <w:pPr>
        <w:pStyle w:val="ListBullet"/>
      </w:pPr>
      <w:r>
        <w:t>S1. Completed PRISMA 2020 checklist.</w:t>
      </w:r>
    </w:p>
    <w:p>
      <w:pPr>
        <w:pStyle w:val="ListBullet"/>
      </w:pPr>
      <w:r>
        <w:t>S2. Literal search strings by database, with date and number of hits.</w:t>
      </w:r>
    </w:p>
    <w:p>
      <w:pPr>
        <w:pStyle w:val="ListBullet"/>
      </w:pPr>
      <w:r>
        <w:t>S3. Complete screening decision log (stages 1 to 3).</w:t>
      </w:r>
    </w:p>
    <w:p>
      <w:pPr>
        <w:pStyle w:val="ListBullet"/>
      </w:pPr>
      <w:r>
        <w:t>S4. Extraction form and codebook.</w:t>
      </w:r>
    </w:p>
    <w:p>
      <w:pPr>
        <w:pStyle w:val="ListBullet"/>
      </w:pPr>
      <w:r>
        <w:t>S5. List of the 219 studies with their status and reports.</w:t>
      </w:r>
    </w:p>
    <w:p>
      <w:pPr>
        <w:pStyle w:val="ListBullet"/>
      </w:pPr>
      <w:r>
        <w:t>S6. Positive-control audit.</w:t>
      </w:r>
    </w:p>
    <w:p>
      <w:pPr>
        <w:pStyle w:val="ListBullet"/>
      </w:pPr>
      <w:r>
        <w:t>S9. Language assignment for every report, with evidence class and proof.</w:t>
      </w:r>
    </w:p>
    <w:p>
      <w:pPr>
        <w:pStyle w:val="ListBullet"/>
      </w:pPr>
      <w:r>
        <w:t>S10. Full-text language verification of every retrieved PDF.</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