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258; texto principal 3 855.</w:t>
      </w:r>
    </w:p>
    <w:p>
      <w:r>
        <w:rPr>
          <w:b/>
        </w:rPr>
        <w:t>Tablas:</w:t>
      </w:r>
      <w:r>
        <w:t xml:space="preserve"> 4. </w:t>
      </w:r>
      <w:r>
        <w:rPr>
          <w:b/>
        </w:rPr>
        <w:t>Figuras:</w:t>
      </w:r>
      <w:r>
        <w:t xml:space="preserve"> 2. </w:t>
      </w:r>
      <w:r>
        <w:rPr>
          <w:b/>
        </w:rPr>
        <w:t>Material suplementario:</w:t>
      </w:r>
      <w:r>
        <w:t xml:space="preserve"> 6 archivos.</w:t>
      </w:r>
    </w:p>
    <w:p>
      <w:pPr>
        <w:pStyle w:val="Heading1"/>
      </w:pPr>
      <w:r>
        <w:t>Resumen</w:t>
      </w:r>
    </w:p>
    <w:p>
      <w:r>
        <w:rPr>
          <w:b/>
        </w:rPr>
        <w:t>Antecedentes.</w:t>
      </w:r>
      <w:r>
        <w:t xml:space="preserve"> </w:t>
      </w:r>
      <w:r>
        <w:rPr>
          <w:i/>
        </w:rPr>
        <w:t>Pseudomonas aeruginosa</w:t>
      </w:r>
      <w:r>
        <w:t xml:space="preserve"> multirresistente es un patógeno de prioridad crítica de la OMS. Varias síntesis recientes han agregado los desenlaces de la fagoterapia en proporciones globales de éxito. Hacerlo da por supuesto que este cuerpo de evidencia admite agregación, y nadie ha examinado ese supuesto.</w:t>
      </w:r>
    </w:p>
    <w:p>
      <w:r>
        <w:rPr>
          <w:b/>
        </w:rPr>
        <w:t>Objetivos.</w:t>
      </w:r>
      <w:r>
        <w:t xml:space="preserve"> Delimitar de forma reproducible la literatura clínica sobre fagoterapia en </w:t>
      </w:r>
      <w:r>
        <w:rPr>
          <w:i/>
        </w:rPr>
        <w:t>P. aeruginosa</w:t>
      </w:r>
      <w:r>
        <w:t xml:space="preserve"> resistente y determinar si su estructura y su reporte permiten una síntesis cuantitativa de eficacia.</w:t>
      </w:r>
    </w:p>
    <w:p>
      <w:r>
        <w:rPr>
          <w:b/>
        </w:rPr>
        <w:t>Métodos.</w:t>
      </w:r>
      <w:r>
        <w:t xml:space="preserve"> Revisión sistemática conforme a PRISMA 2020, con corrientes separadas para bases y registros de ensayos. Se interrogaron nueve fuentes sin restricción de fecha, incluidas BVS y SciELO. Solo se admitieron informes en inglés o español, criterio incorporado como enmienda posterior al cribado y verificado informe a informe, también sobre el texto completo de cada PDF. La unidad de inclusión fue el estudio, no el informe.</w:t>
      </w:r>
    </w:p>
    <w:p>
      <w:r>
        <w:rPr>
          <w:b/>
        </w:rPr>
        <w:t>Resultados.</w:t>
      </w:r>
      <w:r>
        <w:t xml:space="preserve"> De 23 057 registros quedaron 17 129 informes únicos. Pasaron a texto completo 234, agrupados en 185 estudios; 125 de ellos tienen publicación recuperable. El 39,2 % son casos únicos y solo el 19,2 % son comparativos. No consta la procedencia geográfica en el 60,8 % ni la clase de resistencia en el 70,4 %. Se obtuvo el texto completo de 62 estudios (49,6 %); la fracción restante concentra el 70,8 % de los diseños comparativos. El criterio de idioma eliminó 34 estudios, 17 de ellos comparativos.</w:t>
      </w:r>
    </w:p>
    <w:p>
      <w:r>
        <w:rPr>
          <w:b/>
        </w:rPr>
        <w:t>Conclusiones.</w:t>
      </w:r>
      <w:r>
        <w:t xml:space="preserve"> El cuerpo de evidencia es amplio y, a la vez, estructuralmente inadecuado para una síntesis cuantitativa de eficacia. Las proporciones de éxito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ocupa un lugar estable entre los patógenos prioritarios de la Organización Mundial de la Salud [@Tacconelli2018_who; @WHO2024_bppl].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@Krakhotkin2025_currurol].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completitud de reporte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Esta revisión se condujo conforme a la declaración PRISMA 2020 [@Page2021_prisma]. La lista de comprobación completa acompaña al manuscrito como material suplementario.</w:t>
      </w:r>
    </w:p>
    <w:p>
      <w:r>
        <w:rPr>
          <w:b/>
        </w:rPr>
        <w:t>Esta revisión no está registrada</w:t>
      </w:r>
      <w:r>
        <w:t xml:space="preserve"> en PROSPERO ni en OSF. Se declara la ausencia en lugar de omitirla porque el registro prospectivo es una salvaguarda contra la modificación </w:t>
      </w:r>
      <w:r>
        <w:rPr>
          <w:i/>
        </w:rPr>
        <w:t>post hoc</w:t>
      </w:r>
      <w:r>
        <w:t xml:space="preserve"> de los desenlaces, y su ausencia es información que el lector necesita para calibrar la revisión. El protocolo, las decisiones metodológicas y sus fechas quedaron registrados de forma inalterable en el repositorio de trabajo desde el inicio (sección 2.7).</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62 estudios con PDF recuperado se comprobó el idioma sobre el </w:t>
      </w:r>
      <w:r>
        <w:rPr>
          <w:b/>
        </w:rPr>
        <w:t>texto completo</w:t>
      </w:r>
      <w:r>
        <w:t>, analizando las páginas centrales del artículo y no la portada, que muchas revistas publican en inglés aunque el cuerpo no lo esté. La comprobación destapó dos informes cuyos metadatos declaraban inglés y cuyo texto está en ruso, y ambos se excluyeron. Los 234 informes incluidos quedan respaldados por una de tres clases de evidencia: 205 por el análisis de su propio texto, 26 por la norma de idioma del registro de ensayos que los publica, y 3 por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nueve fuentes en las dos corrientes que PRISMA 2020 exige separar. Como </w:t>
      </w:r>
      <w:r>
        <w:rPr>
          <w:b/>
        </w:rPr>
        <w:t>bases bibliográficas</w:t>
      </w:r>
      <w:r>
        <w:t xml:space="preserve">: PubMed, Scopus en dos brazos (uno con el organismo primero y otro con la intervención primero), Cochrane CENTRAL, BVS con LILACS, CUMED, BINACIS y MedCarib, y SciELO. Como </w:t>
      </w:r>
      <w:r>
        <w:rPr>
          <w:b/>
        </w:rPr>
        <w:t>registros de ensayos</w:t>
      </w:r>
      <w:r>
        <w:t>: ClinicalTrials.gov, EudraCT y CTIS. No se restringió el idioma, la fecha ni el tipo de publicación. La última ejecución fue el 10 de agosto de 2026.</w:t>
      </w:r>
    </w:p>
    <w:p>
      <w:r>
        <w:t>Las ecuaciones completas se aportan como suplemento, con la sintaxis literal de cada interfaz, el número de resultados y la fecha en que se corrió. Incluir BVS y SciELO fue una decisión deliberada. La experiencia clínica con fagos publicada en Europa del Este e Iberoamérica está sistemáticamente subrepresentada en PubMed y Scopus, y dejarla fuera habría inclinado la revisión hacia la literatura anglosajona sin decirlo.</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para que lo lea una persona.</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pStyle w:val="Heading2"/>
      </w:pPr>
      <w:r>
        <w:t>2.6 Extracción de datos</w:t>
      </w:r>
    </w:p>
    <w:p>
      <w:r>
        <w:t xml:space="preserve">El formulario de extracción, con 31 variables y vocabularios controlados, se piloteó sobre cinco estudios antes de su uso. La extracción está planificada </w:t>
      </w:r>
      <w:r>
        <w:rPr>
          <w:b/>
        </w:rPr>
        <w:t>por duplicado e independiente</w:t>
      </w:r>
      <w:r>
        <w:t xml:space="preserve"> entre los dos revisores, con resolución de discrepancias por consenso y cálculo de la concordancia (kappa de Cohen) variable a variable.</w:t>
      </w:r>
    </w:p>
    <w:p>
      <w:r>
        <w:rPr>
          <w:b/>
        </w:rPr>
        <w:t>Estado en el momento de este informe.</w:t>
      </w:r>
      <w:r>
        <w:t xml:space="preserve"> La extracción por duplicado está en curso y </w:t>
      </w:r>
      <w:r>
        <w:rPr>
          <w:b/>
        </w:rPr>
        <w:t>no ha concluido</w:t>
      </w:r>
      <w:r>
        <w:t xml:space="preserve">. Los datos que se reportan aquí proceden de una pre-extracción sistemática desde el resumen de los 159 estudios con publicación recuperable, realizada con el mismo esquema de variables y marcada de forma explícita como parcial en cada registro. En consecuencia, </w:t>
      </w:r>
      <w:r>
        <w:rPr>
          <w:b/>
        </w:rPr>
        <w:t>este informe no presenta estimaciones de eficacia</w:t>
      </w:r>
      <w:r>
        <w:t>: presenta la estructura del cuerpo de evidencia y su completitud de reporte, que es lo que la pre-extracción sí sostiene. Las variables de desenlace se reportarán cuando la extracción por duplicado concluya.</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 Estas evaluaciones dependen del texto completo y se reportarán con la extracción definitiva.</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3.5.</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34 informes</w:t>
      </w:r>
      <w:r>
        <w:t xml:space="preserve"> y con ellos </w:t>
      </w:r>
      <w:r>
        <w:rPr>
          <w:b/>
        </w:rPr>
        <w:t>34 estudios completos</w:t>
      </w:r>
      <w:r>
        <w:t>, porque ninguno conservaba un informe en lengua admitida. El corpus pasó de 219 a 185 estudios y de 159 a 125 estudios con publicación recuperable. La pérdida no se repartió de forma uniforme: de los 41 diseños comparativos quedaron 24,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226 y </w:t>
      </w:r>
      <w:r>
        <w:rPr>
          <w:b/>
        </w:rPr>
        <w:t>234 informes pasaron a texto completo</w:t>
      </w:r>
      <w:r>
        <w:t xml:space="preserve">. Al agrupar los informes por estudio, esos 234 corresponden a </w:t>
      </w:r>
      <w:r>
        <w:rPr>
          <w:b/>
        </w:rPr>
        <w:t>185 estudios</w:t>
      </w:r>
      <w:r>
        <w:t>: 155 con un solo informe y 30 con varios, hasta un máximo de once informes de un mismo ensayo.</w:t>
      </w:r>
    </w:p>
    <w:p>
      <w:r>
        <w:t xml:space="preserve">De los 185 estudios, </w:t>
      </w:r>
      <w:r>
        <w:rPr>
          <w:b/>
        </w:rPr>
        <w:t>125 tienen publicación recuperable</w:t>
      </w:r>
      <w:r>
        <w:t xml:space="preserve">: 122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(4 062), organismo distinto sin subgrupo separable (3 031), revisión o comentario sin datos primarios (2 807), no evalúa fagoterapia en pacientes (2 634), ámbito veterinario (838) y síntesis secundaria (84). En la lectura de resumen: organismo distinto (65), revisión o comentario (64), no evalúa fagoterapia (40), </w:t>
      </w:r>
      <w:r>
        <w:rPr>
          <w:b/>
        </w:rPr>
        <w:t>idioma no admitido (34)</w:t>
      </w:r>
      <w:r>
        <w:t>, laboratorio (18) y síntesis secundaria (5).</w:t>
      </w:r>
    </w:p>
    <w:p>
      <w:pPr>
        <w:pStyle w:val="Heading2"/>
      </w:pPr>
      <w:r>
        <w:t>3.2 Recuperación del texto completo y su sesgo</w:t>
      </w:r>
    </w:p>
    <w:p>
      <w:r>
        <w:t xml:space="preserve">Se obtuvo el texto completo de </w:t>
      </w:r>
      <w:r>
        <w:rPr>
          <w:b/>
        </w:rPr>
        <w:t>62 de los 125 estudios recuperables (49,6 %)</w:t>
      </w:r>
      <w:r>
        <w:t xml:space="preserve"> por vías de acceso abierto legítimas. Los 63 restantes requieren préstamo interbibliotecario, acceso institucional o solicitud a los autores.</w:t>
      </w:r>
    </w:p>
    <w:p>
      <w:r>
        <w:t xml:space="preserve">La fracción no obtenida </w:t>
      </w:r>
      <w:r>
        <w:rPr>
          <w:b/>
        </w:rPr>
        <w:t>no es una muestra aleatoria del conjunto</w:t>
      </w:r>
      <w:r>
        <w:t xml:space="preserve"> (Tabla 3). Contiene 17 de los 24 estudios comparativos, el </w:t>
      </w:r>
      <w:r>
        <w:rPr>
          <w:b/>
        </w:rPr>
        <w:t>70,8 %</w:t>
      </w:r>
      <w:r>
        <w:t>, y declara más pacientes que la fracción obtenida. Entre esos comparativos aún no leídos figuran los cuatro ensayos aleatorizados más citados del campo [@Jault2019_phagoburn; @Leitner2021_lancetid_pyophage; @Stanley2025_themicrobe_cyphy; @Onallah2023_med].</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125 estudios recuperables se publicaron entre </w:t>
      </w:r>
      <w:r>
        <w:rPr>
          <w:b/>
        </w:rPr>
        <w:t>2016 y 2026</w:t>
      </w:r>
      <w:r>
        <w:t xml:space="preserve">, y el </w:t>
      </w:r>
      <w:r>
        <w:rPr>
          <w:b/>
        </w:rPr>
        <w:t>83,2 %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(39,2 %)</w:t>
      </w:r>
      <w:r>
        <w:t xml:space="preserve">, 19 series de casos, 16 ensayos aleatorizados, 13 cohortes prospectivas, 8 ensayos no aleatorizados y 4 cohortes retrospectivas. Otros 16 no declaran su diseño de forma reconocible en el resumen. Los comparativos suman </w:t>
      </w:r>
      <w:r>
        <w:rPr>
          <w:b/>
        </w:rPr>
        <w:t>24 estudios, el 19,2 %</w:t>
      </w:r>
      <w:r>
        <w:t xml:space="preserve"> del total, y son los únicos capaces de sostener una afirmación de eficacia relativa.</w:t>
      </w:r>
    </w:p>
    <w:p>
      <w:r>
        <w:t>La procedencia geográfica, cuando consta, se reparte entre Rusia (8 estudios), Georgia y Polonia (6 cada una), Alemania (4), Estados Unidos y Francia (3 cada una), y Bélgica, España e India (2 cada una). No consta en 76 estudios. La caída de la representación rusa respecto del corpus previo a la enmienda —de 34 estudios a 8—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consta en el </w:t>
      </w:r>
      <w:r>
        <w:rPr>
          <w:b/>
        </w:rPr>
        <w:t>70,4 %</w:t>
      </w:r>
      <w:r>
        <w:t xml:space="preserve"> de los estudios.</w:t>
      </w:r>
    </w:p>
    <w:p>
      <w:pPr>
        <w:pStyle w:val="ListBullet"/>
      </w:pPr>
      <w:r>
        <w:t xml:space="preserve">La </w:t>
      </w:r>
      <w:r>
        <w:rPr>
          <w:b/>
        </w:rPr>
        <w:t>vía de administración</w:t>
      </w:r>
      <w:r>
        <w:t xml:space="preserve"> no consta en el </w:t>
      </w:r>
      <w:r>
        <w:rPr>
          <w:b/>
        </w:rPr>
        <w:t>56,8 %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52,8 %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«Éxito clínico» abarca en esta literatura desde la resolución de una fístula a dos años hasta la ausencia de fiebre a los tres días. Sin una definición común, la proporción agrupada suma numeradores que no cuentan lo mismo.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185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Siete de cada diez no declaran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@Krakhotkin2025_currurol].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185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revisión no está registrada prospectivamente. </w:t>
      </w:r>
      <w:r>
        <w:rPr>
          <w:b/>
        </w:rPr>
        <w:t>Segunda:</w:t>
      </w:r>
      <w:r>
        <w:t xml:space="preserve"> la extracción por duplicado no ha concluido, de modo que este informe no presenta desenlaces, ni riesgo de sesgo, ni certeza GRADE. Es una caracterización del cuerpo de evidencia, no una síntesis de sus resultados. </w:t>
      </w:r>
      <w:r>
        <w:rPr>
          <w:b/>
        </w:rPr>
        <w:t>Tercera:</w:t>
      </w:r>
      <w:r>
        <w:t xml:space="preserve"> el texto completo se obtuvo para el 49,6 % de los estudios recuperables, y la fracción faltante está enriquecida en diseños comparativos, de manera que lo descrito aquí subrepresenta la parte comparativa del campo. </w:t>
      </w:r>
      <w:r>
        <w:rPr>
          <w:b/>
        </w:rPr>
        <w:t>Cuarta:</w:t>
      </w:r>
      <w:r>
        <w:t xml:space="preserve"> el cribado lo realizó un solo revisor asistido por reglas explícitas, con auditoría de controles positivos pero sin duplicación independiente. La duplicación está prevista para la fase de extracción. </w:t>
      </w:r>
      <w:r>
        <w:rPr>
          <w:b/>
        </w:rPr>
        <w:t>Quinta:</w:t>
      </w:r>
      <w:r>
        <w:t xml:space="preserve"> la restricción a inglés y español se adoptó cuando el cribado ya había terminado, y eliminó 34 estudios, 17 de ellos comparativos y uno perteneciente al conjunto de control positivo. Empuja el corpus en la misma dirección que el sesgo de recuperación y reduce lo que esta revisión puede decir sobre la literatura de Europa del Este, que es donde se concentran los diseños con comparador.</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Conflictos de interés.</w:t>
      </w:r>
      <w:r>
        <w:t xml:space="preserve"> Los autores declaran no tener conflictos de interés.</w:t>
      </w:r>
    </w:p>
    <w:p>
      <w:r>
        <w:rPr>
          <w:b/>
        </w:rPr>
        <w:t>Contribución de los autores.</w:t>
      </w:r>
      <w:r>
        <w:t xml:space="preserve"> [Pendiente de completar conforme a CRediT antes del envío.]</w:t>
      </w:r>
    </w:p>
    <w:p>
      <w:r>
        <w:rPr>
          <w:b/>
        </w:rPr>
        <w:t>Disponibilidad de datos y código.</w:t>
      </w:r>
      <w:r>
        <w:t xml:space="preserve"> El corpus de cribado, los registros de decisión completos, el formulario de extracción y todo el código del canal están disponibles en el repositorio del proyecto. Los registros de decisión son solo-anexar y conservan cada corrección.</w:t>
      </w:r>
    </w:p>
    <w:p>
      <w:r>
        <w:rPr>
          <w:b/>
        </w:rPr>
        <w:t>Uso de inteligencia artificial.</w:t>
      </w:r>
      <w:r>
        <w:t xml:space="preserve"> En la preparación de este trabajo se emplearon herramientas de inteligencia artificial generativa (Claude, Anthropic) para la asistencia en la programación del canal de cribado, la pre-extracción desde resúmenes y la redacción de borradores. Los autores revisaron y verificaron todo el contenido y asumen la responsabilidad íntegra por su exactitud e integridad. Ninguna herramienta de IA figura como autora, conforme a las recomendaciones del ICMJE.</w:t>
      </w:r>
    </w:p>
    <w:p>
      <w:r>
        <w:rPr>
          <w:b/>
        </w:rPr>
        <w:t>Agradecimientos.</w:t>
      </w:r>
      <w:r>
        <w:t xml:space="preserve"> [Pendiente.]</w:t>
      </w:r>
    </w:p>
    <w:p>
      <w:pPr>
        <w:pStyle w:val="Heading1"/>
      </w:pPr>
      <w:r>
        <w:t>Tablas y figuras</w:t>
      </w:r>
    </w:p>
    <w:p>
      <w:r>
        <w:t>Las cuatro tablas se aportan como archivos independientes (`paper/tablas/`), cada una con su nota al pie. Las dos figuras se aportan en PDF vectorial (`paper/figuras/`).</w:t>
      </w:r>
    </w:p>
    <w:p>
      <w:r>
        <w:rPr>
          <w:b/>
        </w:rPr>
        <w:t>Tabla 1.</w:t>
      </w:r>
      <w:r>
        <w:t xml:space="preserve"> Características del cuerpo de evidencia recuperable (n = 159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159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159 estudios con publicación recuperable.</w:t>
      </w:r>
    </w:p>
    <w:p>
      <w:pPr>
        <w:pStyle w:val="Heading1"/>
      </w:pPr>
      <w:r>
        <w:t>Material suplementario</w:t>
      </w:r>
    </w:p>
    <w:p>
      <w:pPr>
        <w:pStyle w:val="ListBullet"/>
      </w:pPr>
      <w:r>
        <w:t>S1. Lista de comprobación PRISMA 2020.</w:t>
      </w:r>
    </w:p>
    <w:p>
      <w:pPr>
        <w:pStyle w:val="ListBullet"/>
      </w:pPr>
      <w:r>
        <w:t>S2. Ecuaciones de búsqueda literales por base, con fecha y número de resultados.</w:t>
      </w:r>
    </w:p>
    <w:p>
      <w:pPr>
        <w:pStyle w:val="ListBullet"/>
      </w:pPr>
      <w:r>
        <w:t>S3. Registro completo de decisiones de cribado (etapas 1 a 3).</w:t>
      </w:r>
    </w:p>
    <w:p>
      <w:pPr>
        <w:pStyle w:val="ListBullet"/>
      </w:pPr>
      <w:r>
        <w:t>S4. Formulario de extracción y libro de códigos.</w:t>
      </w:r>
    </w:p>
    <w:p>
      <w:pPr>
        <w:pStyle w:val="ListBullet"/>
      </w:pPr>
      <w:r>
        <w:t>S5. Listado de los 219 estudios con su situación y sus informes.</w:t>
      </w:r>
    </w:p>
    <w:p>
      <w:pPr>
        <w:pStyle w:val="ListBullet"/>
      </w:pPr>
      <w:r>
        <w:t>S6. Auditoría de controles positivos.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