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197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158</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98</w:t>
            </w:r>
          </w:p>
        </w:tc>
      </w:tr>
      <w:tr>
        <w:tc>
          <w:tcPr>
            <w:tcW w:type="dxa" w:w="3969"/>
          </w:tcPr>
          <w:p>
            <w:r/>
            <w:r>
              <w:rPr>
                <w:sz w:val="18"/>
              </w:rPr>
              <w:t>Diseños comparativos</w:t>
            </w:r>
          </w:p>
        </w:tc>
        <w:tc>
          <w:tcPr>
            <w:tcW w:type="dxa" w:w="2494"/>
          </w:tcPr>
          <w:p>
            <w:r/>
            <w:r>
              <w:rPr>
                <w:sz w:val="18"/>
              </w:rPr>
              <w:t>41</w:t>
            </w:r>
          </w:p>
        </w:tc>
        <w:tc>
          <w:tcPr>
            <w:tcW w:type="dxa" w:w="2494"/>
          </w:tcPr>
          <w:p>
            <w:r/>
            <w:r>
              <w:rPr>
                <w:sz w:val="18"/>
              </w:rPr>
              <w:t>13</w:t>
            </w:r>
          </w:p>
        </w:tc>
      </w:tr>
      <w:tr>
        <w:tc>
          <w:tcPr>
            <w:tcW w:type="dxa" w:w="3969"/>
          </w:tcPr>
          <w:p>
            <w:r/>
            <w:r>
              <w:rPr>
                <w:sz w:val="18"/>
              </w:rPr>
              <w:t>Ensayos aleatorizados</w:t>
            </w:r>
          </w:p>
        </w:tc>
        <w:tc>
          <w:tcPr>
            <w:tcW w:type="dxa" w:w="2494"/>
          </w:tcPr>
          <w:p>
            <w:r/>
            <w:r>
              <w:rPr>
                <w:sz w:val="18"/>
              </w:rPr>
              <w:t>21</w:t>
            </w:r>
          </w:p>
        </w:tc>
        <w:tc>
          <w:tcPr>
            <w:tcW w:type="dxa" w:w="2494"/>
          </w:tcPr>
          <w:p>
            <w:r/>
            <w:r>
              <w:rPr>
                <w:sz w:val="18"/>
              </w:rPr>
              <w:t>9</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72,4 % obtenido sigue siendo insuficiente y, sobre todo, sesgado: la fracción faltante concentra el 61,5 %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27 textos completos que faltan para que el manuscrito resista la revisión. Los 13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98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