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structure and verifiability of the clinical evidence base</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282; main text 5 766.</w:t>
      </w:r>
    </w:p>
    <w:p>
      <w:r>
        <w:rPr>
          <w:b/>
        </w:rPr>
        <w:t>Tables:</w:t>
      </w:r>
      <w:r>
        <w:t xml:space="preserve"> 6. </w:t>
      </w:r>
      <w:r>
        <w:rPr>
          <w:b/>
        </w:rPr>
        <w:t>Figures:</w:t>
      </w:r>
      <w:r>
        <w:t xml:space="preserve"> 2. </w:t>
      </w:r>
      <w:r>
        <w:rPr>
          <w:b/>
        </w:rPr>
        <w:t>Supplementary files:</w:t>
      </w:r>
      <w:r>
        <w:t xml:space="preserve"> 16 (S0–S15) plus a guide.</w:t>
      </w:r>
    </w:p>
    <w:p>
      <w:pPr>
        <w:pStyle w:val="Heading1"/>
      </w:pPr>
      <w:r>
        <w:t>Abstract</w:t>
      </w:r>
    </w:p>
    <w:p>
      <w:r>
        <w:rPr>
          <w:b/>
        </w:rPr>
        <w:t>Background.</w:t>
      </w:r>
      <w:r>
        <w:t xml:space="preserve"> Several recent syntheses pool phage therapy outcomes for resistant </w:t>
      </w:r>
      <w:r>
        <w:rPr>
          <w:i/>
        </w:rPr>
        <w:t>Pseudomonas aeruginosa</w:t>
      </w:r>
      <w:r>
        <w:t xml:space="preserve"> into overall success proportions. That assumes the evidence base can be aggregated, and no one has examined it.</w:t>
      </w:r>
    </w:p>
    <w:p>
      <w:r>
        <w:rPr>
          <w:b/>
        </w:rPr>
        <w:t>Objectives.</w:t>
      </w:r>
      <w:r>
        <w:t xml:space="preserve"> To delimit it reproducibly and determine whether its structure and reporting admit a quantitative synthesis of efficacy.</w:t>
      </w:r>
    </w:p>
    <w:p>
      <w:r>
        <w:rPr>
          <w:b/>
        </w:rPr>
        <w:t>Methods.</w:t>
      </w:r>
      <w:r>
        <w:t xml:space="preserve"> PRISMA 2020, separate streams for databases and registers. Eight sources — BVS and SciELO included — over a 2016–2026 window where admitted. English or Spanish only, a criterion adopted </w:t>
      </w:r>
      <w:r>
        <w:rPr>
          <w:b/>
        </w:rPr>
        <w:t>after screening closed</w:t>
      </w:r>
      <w:r>
        <w:t xml:space="preserve"> and verified against full text. The unit was the study. Extraction was manual, in duplicate and independent, with consensus on disagreements; the structure comes from a pre-extraction from abstracts and the outcomes from the adjudicated extraction.</w:t>
      </w:r>
    </w:p>
    <w:p>
      <w:r>
        <w:rPr>
          <w:b/>
        </w:rPr>
        <w:t>Results.</w:t>
      </w:r>
      <w:r>
        <w:t xml:space="preserve"> From 23 057 records, 17 129 unique reports remained;233 reports formed 184 studies and, on reading the full texts, </w:t>
      </w:r>
      <w:r>
        <w:rPr>
          <w:b/>
        </w:rPr>
        <w:t>26 did not meet the criteria</w:t>
      </w:r>
      <w:r>
        <w:t xml:space="preserve"> —protocols, preclinical models, and articles where </w:t>
      </w:r>
      <w:r>
        <w:rPr>
          <w:i/>
        </w:rPr>
        <w:t>P. aeruginosa</w:t>
      </w:r>
      <w:r>
        <w:t xml:space="preserve"> appears only in the product's declared spectrum—, leaving </w:t>
      </w:r>
      <w:r>
        <w:rPr>
          <w:b/>
        </w:rPr>
        <w:t>158</w:t>
      </w:r>
      <w:r>
        <w:t xml:space="preserve">, 98 with a retrievable publication. Single case reports, 42.9 %; comparative, 13.3 %; resistance class unassignable, 76.5 %. Full text was obtained for 71 (72.4 %), and what is missing concentrates 61.5 % of the comparative designs; the language criterion removed 35 studies more. In 71 of the 106 arms (67.0 %) no operational definition of clinical success is on record, and only 2 combine comparative design, numerator, denominator and a definition. Setting aside the one whose outcome is a time, </w:t>
      </w:r>
      <w:r>
        <w:rPr>
          <w:b/>
        </w:rPr>
        <w:t>none remains</w:t>
      </w:r>
      <w:r>
        <w:t>.</w:t>
      </w:r>
    </w:p>
    <w:p>
      <w:r>
        <w:rPr>
          <w:b/>
        </w:rPr>
        <w:t>Conclusions.</w:t>
      </w:r>
      <w:r>
        <w:t xml:space="preserve"> This evidence base is at once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though its position has moved: the 2017 list placed it in the critical tier [@Tacconelli2018_who] and the 2024 update downgraded the carbapenem-resistant form to high priority [@WHO2024_bppl]. The downgrade does not lessen the clinical problem an isolate with no options poses, but it does mean urgency should not be argued from a superseded classification.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and the verifiability — the possibility of establishing, from what is published, whether a study is retrievable as a report, what population it concerns and what outcome it measured —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 xml:space="preserve">This review was conducted following the PRISMA 2020 statement [@Page2021_prisma]. The completed checklist accompanies the manuscript as supplementary material. </w:t>
      </w:r>
      <w:r>
        <w:rPr>
          <w:b/>
        </w:rPr>
        <w:t>The review was not registered in PROSPERO or any other prospective registry, and no prior protocol was deposited</w:t>
      </w:r>
      <w:r>
        <w:t>; the working protocol and the methodological decisions were date-stamped in the versioned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w:t>
      </w:r>
    </w:p>
    <w:p>
      <w:pPr>
        <w:pStyle w:val="Heading2"/>
      </w:pPr>
      <w:r>
        <w:t>2.3 Information sources and search strategy</w:t>
      </w:r>
    </w:p>
    <w:p>
      <w:r>
        <w:t xml:space="preserve">Eight databases and registers were searched across the two streams PRISMA 2020 requires to be kept separate. As </w:t>
      </w:r>
      <w:r>
        <w:rPr>
          <w:b/>
        </w:rPr>
        <w:t>bibliographic databases</w:t>
      </w:r>
      <w:r>
        <w:t xml:space="preserve">: PubMed, Scopus (in two arms, one organism-first and one intervention-first), Cochrane CENTRAL via Wiley (issue 7 of 12, July 2026), the BVS portal (sixteen collections, among them LILACS, CUMED, BINACIS and MedCarib) and SciELO. As </w:t>
      </w:r>
      <w:r>
        <w:rPr>
          <w:b/>
        </w:rPr>
        <w:t>trial registers</w:t>
      </w:r>
      <w:r>
        <w:t>: ClinicalTrials.gov, EudraCT and CTIS. ProQuest was searched and returned 4 416 records, but was not exported and forms no part of this corpus.</w:t>
      </w:r>
    </w:p>
    <w:p>
      <w:r>
        <w:t xml:space="preserve">The publication window of 2016 to 2026 was applied in PubMed, in both Scopus arms and in CENTRAL; not in BVS, SciELO or the registers, so 495 records earlier than 2016 entered the corpus. Publication-type restrictions applied in PubMed arm A (six document types), in arm B (human studies) and in Scopus arm B (medicine, immunology and pharmacology). No language restriction was applied. </w:t>
      </w:r>
      <w:r>
        <w:rPr>
          <w:b/>
        </w:rPr>
        <w:t>Embase was not searched</w:t>
      </w:r>
      <w:r>
        <w:t>, being unavailable under the institutional subscription, nor was the WHO ICTRP. The final run was on 10 August 2026.</w:t>
      </w:r>
    </w:p>
    <w:p>
      <w:r>
        <w:t>The search equations were designed and run by D.V., querying each interface directly; they were neither generated nor executed by the language model whose involvement is declared in section 2.4. They are supplied in full as supplementary material, with the literal syntax of each interface, the number of results and the date, so that anyone can repeat them. BVS and SciELO were included so as not to tilt the review towards the anglophone literature, and contributed 2 of the 233 reports that reached full text: they cover Ibero-America, and of the 48 studies that state their origin, 21 are from Russia, Poland, Georgia or Ukraine.</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used a </w:t>
      </w:r>
      <w:r>
        <w:rPr>
          <w:b/>
        </w:rPr>
        <w:t>closed vocabulary of six exclusion codes</w:t>
      </w:r>
      <w:r>
        <w:t xml:space="preserve"> (ORG, REV, SEC, LAB, VET, OFF) fixed before screening began. A reason that fits none of the six does not receive an improvised seventh code: the record advances to the next stage instead of being excluded.</w:t>
      </w:r>
    </w:p>
    <w:p>
      <w:r>
        <w:t xml:space="preserve">Stage 1 is deterministic: a script runs it and every exclusion names the rule that fired. Stages 2 and 3 were conducted by </w:t>
      </w:r>
      <w:r>
        <w:rPr>
          <w:b/>
        </w:rPr>
        <w:t>a single human reviewer (D.V.), without duplication by a second reviewer</w:t>
      </w:r>
      <w:r>
        <w:t>. The criteria and the closed vocabulary were fixed before starting; the record-by-record decisions were issued by a large language model (Claude Opus 5, Anthropic) that could only choose among the six codes and could not propose a new one:13 917 title decisions and 460 abstract decisions. The reviewer examined one by one every report that survived screening before grouping them into studies, and those assignments are supplied in full (S5); the records the model excluded were not re-read. Every decision was logged with its reason and timestamp in an append-only record supplied in full (S3).</w:t>
      </w:r>
    </w:p>
    <w:p>
      <w:r>
        <w:t>Agreement between the model and a human reader was not measured. Against the risk of false negatives the review sets the positive-control audit of section 2.5: after every stage it was verified that none of the 40 studies known in advance lost all of its reports.</w:t>
      </w:r>
    </w:p>
    <w:p>
      <w:r>
        <w:t xml:space="preserve">Two things the word «extraction» conflates are worth separating. The </w:t>
      </w:r>
      <w:r>
        <w:rPr>
          <w:b/>
        </w:rPr>
        <w:t>pre-extraction from abstracts</w:t>
      </w:r>
      <w:r>
        <w:t xml:space="preserve">, which is the source of this article's structural figures (sections 3.1 to 3.4), was issued by the same model under the variable schema fixed in advance, with every record flagged as partial. The </w:t>
      </w:r>
      <w:r>
        <w:rPr>
          <w:b/>
        </w:rPr>
        <w:t>extraction from full text</w:t>
      </w:r>
      <w:r>
        <w:t>, from which section 3.5 and Table 5 derive, was carried out by the two reviewers by hand and without any intervention by the model (section 2.6).</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 and screening validation</w:t>
      </w:r>
    </w:p>
    <w:p>
      <w:r>
        <w:t xml:space="preserve">Before screening began, a set of 40 studies known a priori to be eligible was fixed, drawn from an earlier scoping exercise.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stages (40 of 40). During one intermediate run it detected a miscalibrated exclusion rule, which was corrected before proceeding.</w:t>
      </w:r>
    </w:p>
    <w:p>
      <w:r>
        <w:rPr>
          <w:b/>
        </w:rPr>
        <w:t>Validation over the excluded records.</w:t>
      </w:r>
      <w:r>
        <w:t xml:space="preserve"> The positive-control audit bounds false negatives only over studies known in advance. To bound them over the unknown ones, a random sample of 350 of the 13 661 records excluded at title or abstract (fixed, reproducible seed) was re-screened in Rayyan, blind to the original verdict. The 6 records marked as includable on the first pass proved, when checked against the criteria of section 2.2, to be laboratory work, modelling work or review without primary data, and were reclassified. </w:t>
      </w:r>
      <w:r>
        <w:rPr>
          <w:b/>
        </w:rPr>
        <w:t>The erroneous-exclusion rate was 0.0 % (0 of 350; exact 95 % CI, 0.00 to 1.05 %)</w:t>
      </w:r>
      <w:r>
        <w:t>, which over the frame of 13 661 admits up to 143 lost records. The adjudication is supplied as supplementary material.</w:t>
      </w:r>
    </w:p>
    <w:p>
      <w:pPr>
        <w:pStyle w:val="Heading2"/>
      </w:pPr>
      <w:r>
        <w:t>2.6 Data extraction</w:t>
      </w:r>
    </w:p>
    <w:p>
      <w:r>
        <w:t xml:space="preserve">The extraction form, with 23 data variables and controlled vocabularies, was piloted on five studies before use. Extraction was carried out </w:t>
      </w:r>
      <w:r>
        <w:rPr>
          <w:b/>
        </w:rPr>
        <w:t>in duplicate and independently</w:t>
      </w:r>
      <w:r>
        <w:t xml:space="preserve"> between the two reviewers. One reviewer extracted the 124 studies that then had a retrievable publication —98 after the exclusions in section 3.1.1— and the second extracted 122 of them, so 98 % of the corpus is double-extracted. Over the 130 comparable arm rows, 541 value disagreements were recorded; agreement, measured before resolving them, was 78 % median agreement and a median Cohen's kappa of 0.62 over the 8 of 9 categorical fields where it is informative, ranging from 64 % to 100 % across variables. Disagreements were resolved by consensus between the two reviewers, with a record of who resolved and when:525 of 541 are adjudicated. Of the remaining 16, 2 had been closed earlier by a mechanical rule applied to a comparison that was subsequently redone and carry no joint signature, and 14 remain open: 10 because the form offered no "not derivable" option in the fields where the reviewers needed one, and 4 for data requiring the article to be re-read. The complete record, resolution by resolution, is supplied as supplementary material.</w:t>
      </w:r>
    </w:p>
    <w:p>
      <w:r>
        <w:t xml:space="preserve">The structural characterisation of the corpus (sections 3.1 to 3.4, Tables 1 to 4) derives from a systematic pre-extraction from the abstracts of the 98 current studies, carried out under the same variable schema and flagged as partial in every record. Reporting completeness per outcome (section 3.5, Table 5) derives instead from the adjudicated extraction, and is identified as such for every figure. This report presents no efficacy estimates: it characterises the structure of the evidence base and its </w:t>
      </w:r>
      <w:r>
        <w:rPr>
          <w:b/>
        </w:rPr>
        <w:t>verifiability</w:t>
      </w:r>
      <w:r>
        <w:t>, with three components measured — retrievability of the report (sections 3.1 and 3.2), structural reporting completeness (section 3.4) and outcome reporting completeness (section 3.5).</w:t>
      </w:r>
    </w:p>
    <w:p>
      <w:pPr>
        <w:pStyle w:val="Heading2"/>
      </w:pPr>
      <w:r>
        <w:t>2.7 Risk of bias and certainty</w:t>
      </w:r>
    </w:p>
    <w:p>
      <w:r>
        <w:t>Risk of bias was to be assessed with RoB 2 for randomised trials [@Sterne2019_rob2], ROBINS-I for non-randomised studies [@Sterne2016_robinsi] and the Murad domains for case reports and series [@Murad2018_casereports; @Munn2020_jbicaseseries], and certainty with GRADE [@Guyatt2011_grade].</w:t>
      </w:r>
    </w:p>
    <w:p>
      <w:r>
        <w:rPr>
          <w:b/>
        </w:rPr>
        <w:t>Neither assessment was carried out, and this review does not report them.</w:t>
      </w:r>
      <w:r>
        <w:t xml:space="preserve"> The reasons are specific and worth stating separately. Risk of bias requires both reviewers to read each article and issue a domain-by-domain judgement; it remains outstanding and is not substituted by any design-derived indicator, which is not the same thing. In addition, 27 of the 98 studies with a retrievable publication still lack full text (section 3.2), so an assessment made today would omit a non-random fraction of the corpus. As for GRADE, it rates the certainty of a pooled estimate, and this review presents none: section 3.5 shows that only 2 of the 106 arms meet the minimum requirements for pooling. Rating the certainty of a result that does not exist would be a formality, not an assessment.</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3.6.</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Protocol amendment: the language criterion</w:t>
      </w:r>
    </w:p>
    <w:p>
      <w:r>
        <w:t>On 11 August 2026, with screening complete and 219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219 to 184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40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pPr>
        <w:pStyle w:val="Heading1"/>
      </w:pPr>
      <w:r>
        <w:t>3. Results</w:t>
      </w:r>
    </w:p>
    <w:p>
      <w:pPr>
        <w:pStyle w:val="Heading2"/>
      </w:pPr>
      <w:r>
        <w:t>3.1 Study selection</w:t>
      </w:r>
    </w:p>
    <w:p>
      <w:r>
        <w:t xml:space="preserve">The nine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184 studies assessed for eligibility</w:t>
      </w:r>
      <w:r>
        <w:t xml:space="preserve">. On reading their full texts during extraction, </w:t>
      </w:r>
      <w:r>
        <w:rPr>
          <w:b/>
        </w:rPr>
        <w:t>26 of them did not meet the criteria of section 2.2</w:t>
      </w:r>
      <w:r>
        <w:t xml:space="preserve"> and were excluded; the next subsection details them. The evidence base stands at </w:t>
      </w:r>
      <w:r>
        <w:rPr>
          <w:b/>
        </w:rPr>
        <w:t>158 studies</w:t>
      </w:r>
      <w:r>
        <w:t>, grouping 197 reports: 134 with a single report and 24 with several, up to a maximum of eleven reports of one trial.</w:t>
      </w:r>
    </w:p>
    <w:p>
      <w:pPr>
        <w:pStyle w:val="Heading2"/>
      </w:pPr>
      <w:r>
        <w:t>3.1.1 Twenty-six studies the screening admitted and reading refuted</w:t>
      </w:r>
    </w:p>
    <w:p>
      <w:r>
        <w:t xml:space="preserve">The 26 were excluded for seven reasons, and none is a difference of judgement: they are studies that fail what section 2.2 already required. </w:t>
      </w:r>
      <w:r>
        <w:rPr>
          <w:b/>
        </w:rPr>
        <w:t>Twenty-two</w:t>
      </w:r>
      <w:r>
        <w:t xml:space="preserve"> came from reading their full texts. </w:t>
      </w:r>
      <w:r>
        <w:rPr>
          <w:b/>
        </w:rPr>
        <w:t>Ten</w:t>
      </w:r>
      <w:r>
        <w:t xml:space="preserve"> have </w:t>
      </w:r>
      <w:r>
        <w:rPr>
          <w:i/>
        </w:rPr>
        <w:t>P. aeruginosa</w:t>
      </w:r>
      <w:r>
        <w:t xml:space="preserve"> in no patient — it appears in the declared spectrum of the phage product, in the introduction or in the reference list; one of them names no organism at all. </w:t>
      </w:r>
      <w:r>
        <w:rPr>
          <w:b/>
        </w:rPr>
        <w:t>Four</w:t>
      </w:r>
      <w:r>
        <w:t xml:space="preserve"> are study protocols: they describe what will be done and report no outcomes. </w:t>
      </w:r>
      <w:r>
        <w:rPr>
          <w:b/>
        </w:rPr>
        <w:t>Three</w:t>
      </w:r>
      <w:r>
        <w:t xml:space="preserve"> have no patients: a murine model of ventilator-associated pneumonia, an </w:t>
      </w:r>
      <w:r>
        <w:rPr>
          <w:i/>
        </w:rPr>
        <w:t>in vitro</w:t>
      </w:r>
      <w:r>
        <w:t xml:space="preserve"> hollow-fibre model, and a methods paper on preparing phages in the laboratory. </w:t>
      </w:r>
      <w:r>
        <w:rPr>
          <w:b/>
        </w:rPr>
        <w:t>Two</w:t>
      </w:r>
      <w:r>
        <w:t xml:space="preserve"> administer something that is not a bacteriophage: an endolysin, and a product claiming to induce the patient's own native phages. </w:t>
      </w:r>
      <w:r>
        <w:rPr>
          <w:b/>
        </w:rPr>
        <w:t>Two</w:t>
      </w:r>
      <w:r>
        <w:t xml:space="preserve"> do not evaluate phage therapy in patients: in one the phage is mentioned only as an unavailable option and was never administered, and the other is a reconstructive surgery article where phage therapy appears once, in a table cell. </w:t>
      </w:r>
      <w:r>
        <w:rPr>
          <w:b/>
        </w:rPr>
        <w:t>One</w:t>
      </w:r>
      <w:r>
        <w:t xml:space="preserve"> is an opinion piece with a narrative review.</w:t>
      </w:r>
    </w:p>
    <w:p>
      <w:r>
        <w:t xml:space="preserve">The </w:t>
      </w:r>
      <w:r>
        <w:rPr>
          <w:b/>
        </w:rPr>
        <w:t>remaining four</w:t>
      </w:r>
      <w:r>
        <w:t xml:space="preserve"> were excluded on </w:t>
      </w:r>
      <w:r>
        <w:rPr>
          <w:b/>
        </w:rPr>
        <w:t>language</w:t>
      </w:r>
      <w:r>
        <w:t xml:space="preserve">, and were detected differently. All four appeared in the same Russian journal, and the criterion in section 2.5 had kept them on a premise that turned out to be false: that this journal issues a full English version. It does not. Measured on the publisher's own page and </w:t>
      </w:r>
      <w:r>
        <w:rPr>
          <w:b/>
        </w:rPr>
        <w:t>without machine translation</w:t>
      </w:r>
      <w:r>
        <w:t xml:space="preserve">, the body of all four articles is predominantly Cyrillic — between three quarters and almost all of their characters; what is in Latin script is the abstract, the keywords and the references. The site offers no English version by any of its three routes. One of the four also fails on population, exactly as the ten above do: its patients had </w:t>
      </w:r>
      <w:r>
        <w:rPr>
          <w:i/>
        </w:rPr>
        <w:t>Staphylococcus</w:t>
      </w:r>
      <w:r>
        <w:t xml:space="preserve"> and </w:t>
      </w:r>
      <w:r>
        <w:rPr>
          <w:i/>
        </w:rPr>
        <w:t>Streptococcus</w:t>
      </w:r>
      <w:r>
        <w:t xml:space="preserve">, and </w:t>
      </w:r>
      <w:r>
        <w:rPr>
          <w:i/>
        </w:rPr>
        <w:t>P. aeruginosa</w:t>
      </w:r>
      <w:r>
        <w:t xml:space="preserve"> appears only in the composition of the pyobacteriophage administered.</w:t>
      </w:r>
    </w:p>
    <w:p>
      <w:r>
        <w:t xml:space="preserve">That case exposed a defect in the verification procedure itself, and it is worth declaring. The language detector analyses the title and the </w:t>
      </w:r>
      <w:r>
        <w:rPr>
          <w:b/>
        </w:rPr>
        <w:t>indexed abstract</w:t>
      </w:r>
      <w:r>
        <w:t xml:space="preserve">, yet its strongest evidence class was named "text proven". For a study whose full text was never retrieved that asserts more than was checked, and it applies to </w:t>
      </w:r>
      <w:r>
        <w:rPr>
          <w:b/>
        </w:rPr>
        <w:t>29 of the 98 extractable studies</w:t>
      </w:r>
      <w:r>
        <w:t>. When the source declares a non-admitted language and the abstract is in English, what is proven is that the journal publishes an English abstract — the norm across much of Eastern Europe — not that the article can be read in English. The class was renamed and that precedence corrected.</w:t>
      </w:r>
    </w:p>
    <w:p>
      <w:r>
        <w:t xml:space="preserve">The cause is common to nearly all of them and is worth stating plainly: title and abstract screening was issued by a language model as sole reviewer (section 2.4). A protocol abstract, a murine-model abstract and one listing </w:t>
      </w:r>
      <w:r>
        <w:rPr>
          <w:i/>
        </w:rPr>
        <w:t>P. aeruginosa</w:t>
      </w:r>
      <w:r>
        <w:t xml:space="preserve"> in the spectrum of a polyvalent phage </w:t>
      </w:r>
      <w:r>
        <w:rPr>
          <w:b/>
        </w:rPr>
        <w:t>look very much</w:t>
      </w:r>
      <w:r>
        <w:t xml:space="preserve"> like an eligible abstract; telling them apart requires opening the article. Section 2.4 declares that the records the model excluded were never re-read by a human. These 22 are the other side of that limitation, and they are </w:t>
      </w:r>
      <w:r>
        <w:rPr>
          <w:b/>
        </w:rPr>
        <w:t>23.7 %</w:t>
      </w:r>
      <w:r>
        <w:t xml:space="preserve"> of the 93 studies whose full text could be read. It is a floor, not a total: the 31 studies without full text could not be checked against anything.</w:t>
      </w:r>
    </w:p>
    <w:p>
      <w:r>
        <w:t xml:space="preserve">Of the 158 studies, </w:t>
      </w:r>
      <w:r>
        <w:rPr>
          <w:b/>
        </w:rPr>
        <w:t>98 have a retrievable publication</w:t>
      </w:r>
      <w:r>
        <w:t xml:space="preserve">: 95 articles and 3 that exist only as conference abstracts. The remaining </w:t>
      </w:r>
      <w:r>
        <w:rPr>
          <w:b/>
        </w:rPr>
        <w:t>60 are trial registry entries alone</w:t>
      </w:r>
      <w:r>
        <w:t>, with no locatable associated publication. That figure by itself describes a field in which more than one study in three has been registered but has never published results.</w:t>
      </w:r>
    </w:p>
    <w:p>
      <w:r>
        <w:t xml:space="preserve">Exclusion reasons at title screening were laboratory or preclinical work (4 060), other organism without a separable subgroup (3 022), review or commentary without primary data (2 803), does not evaluate phage therapy in patients (2 631), veterinary scope (834)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Full text was obtained for </w:t>
      </w:r>
      <w:r>
        <w:rPr>
          <w:b/>
        </w:rPr>
        <w:t>71 of the 98 retrievable studies (72.4 %)</w:t>
      </w:r>
      <w:r>
        <w:t xml:space="preserve"> through legitimate open-access routes. The remaining 27 require interlibrary loan, institutional access or a request to the authors.</w:t>
      </w:r>
    </w:p>
    <w:p>
      <w:r>
        <w:t xml:space="preserve">The unretrieved fraction </w:t>
      </w:r>
      <w:r>
        <w:rPr>
          <w:b/>
        </w:rPr>
        <w:t>is not a random sample of the whole</w:t>
      </w:r>
      <w:r>
        <w:t xml:space="preserve"> (Table 3). It contains 8 of the 13 comparative studies, </w:t>
      </w:r>
      <w:r>
        <w:rPr>
          <w:b/>
        </w:rPr>
        <w:t>61.5 %</w:t>
      </w:r>
      <w:r>
        <w:t>, and, although it reports fewer patients overall, it concentrates the designs that can sustain a comparison. Of the field's four landmark randomised trials [@Jault2019_phagoburn; @Leitner2021_lancetid_pyophage; @NirPaz2025_med_tp102; @Chan2023_jcf_cyphy], two remain unread: the intravesical phage trial and TP-102. The PhagoBurn article was obtained. The Yale trial has no full journal article, only a conference abstract and results deposited in the register; what was obtained is the trial protocol, which documents the design but not the outcomes.</w:t>
      </w:r>
    </w:p>
    <w:p>
      <w:r>
        <w:t>The asymmetry is itself a finding. Full-text accessibility covaries with region of publication and with study design, and it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98 retrievable studies were published between </w:t>
      </w:r>
      <w:r>
        <w:rPr>
          <w:b/>
        </w:rPr>
        <w:t>2016 and 2026</w:t>
      </w:r>
      <w:r>
        <w:t xml:space="preserve">, and </w:t>
      </w:r>
      <w:r>
        <w:rPr>
          <w:b/>
        </w:rPr>
        <w:t>79.6 %</w:t>
      </w:r>
      <w:r>
        <w:t xml:space="preserve"> since 2020. This is a young and rapidly expanding evidence base (Table 1).</w:t>
      </w:r>
    </w:p>
    <w:p>
      <w:r>
        <w:t xml:space="preserve">Its composition by design is what a rescue literature produces, not what a synthesis of efficacy needs: </w:t>
      </w:r>
      <w:r>
        <w:rPr>
          <w:b/>
        </w:rPr>
        <w:t>42 single case reports (42.9 %)</w:t>
      </w:r>
      <w:r>
        <w:t xml:space="preserve">, 18 case series, 13 prospective cohorts, 9 randomised trials, 4 non-randomised trials and 3 retrospective cohorts. A further 9 do not state a recognisable design in the abstract. Comparative designs total </w:t>
      </w:r>
      <w:r>
        <w:rPr>
          <w:b/>
        </w:rPr>
        <w:t>13 studies, 13.3 %</w:t>
      </w:r>
      <w:r>
        <w:t xml:space="preserve"> of the whole, and are the only ones able to sustain a claim of relative efficacy.</w:t>
      </w:r>
    </w:p>
    <w:p>
      <w:r>
        <w:t>Where stated, geographic origin is spread across Russia (7 studies), Poland and Georgia (6 each), Germany (4), France and the United States (3 each), and India, Iran and Israel (2 each). It is not stated in 76 studies. The fall in Russian representation relative to the pre-amendment corpus, from 34 studies to 7, is a direct effect of the language criterion and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cannot be assigned in </w:t>
      </w:r>
      <w:r>
        <w:rPr>
          <w:b/>
        </w:rPr>
        <w:t>76.5 %</w:t>
      </w:r>
      <w:r>
        <w:t xml:space="preserve"> of studies: 63.3 % do not mention it at all and a further 13.3 % mention it in terms that do not allow classification. For stratifying by resistance, which is what published syntheses do, both cases are equally unusable.</w:t>
      </w:r>
    </w:p>
    <w:p>
      <w:pPr>
        <w:pStyle w:val="ListBullet"/>
      </w:pPr>
      <w:r>
        <w:rPr>
          <w:b/>
        </w:rPr>
        <w:t>Route of administration</w:t>
      </w:r>
      <w:r>
        <w:t xml:space="preserve"> is not stated in </w:t>
      </w:r>
      <w:r>
        <w:rPr>
          <w:b/>
        </w:rPr>
        <w:t>52.0 %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40.8 %</w:t>
      </w:r>
      <w:r>
        <w:t>.</w:t>
      </w:r>
    </w:p>
    <w:p>
      <w:pPr>
        <w:pStyle w:val="ListBullet"/>
      </w:pPr>
      <w:r>
        <w:t xml:space="preserve">Fulfilment of the </w:t>
      </w:r>
      <w:r>
        <w:rPr>
          <w:b/>
        </w:rPr>
        <w:t>DTR</w:t>
      </w:r>
      <w:r>
        <w:t xml:space="preserve"> criterion (difficult-to-treat resistance) is not stated in </w:t>
      </w:r>
      <w:r>
        <w:rPr>
          <w:b/>
        </w:rPr>
        <w:t>98.0 %</w:t>
      </w:r>
      <w:r>
        <w:t>.</w:t>
      </w:r>
    </w:p>
    <w:p>
      <w:r>
        <w:t>These figures describe reporting in the abstract, not necessarily in the full article, and the distinction matters because some of the information may sit in the body of the text. That said, the abstract is what databases index and what automated reviews consume. Three studies in four failing to state their resistance category there means that no MDR/XDR/PDR stratification built from abstracts can be correct.</w:t>
      </w:r>
    </w:p>
    <w:p>
      <w:pPr>
        <w:pStyle w:val="Heading2"/>
      </w:pPr>
      <w:r>
        <w:t>3.5 What the corpus reports for each outcome</w:t>
      </w:r>
    </w:p>
    <w:p>
      <w:r>
        <w:t>Duplicate extraction, now adjudicated, makes it possible for the first time to measure what this evidence base reports for the five outcomes declared in the eligibility criteria. Table 5 summarises it over the 132 extracted arms.</w:t>
      </w:r>
    </w:p>
    <w:p>
      <w:r>
        <w:t>Completeness is uneven and, at best, partial. Adverse events are the outcome most often reported with a denominator (76.4 % of arms) and emergence of phage resistance the least (26.4 %), despite being the outcome that determines whether the intervention retains its usefulness. Those percentages are computed over all 106 arms and therefore include 27 from studies whose full text has not been retrieved: of an article one has not been able to read, one cannot assert that it is silent. Over the 79 readable arms the figures rise — from 74.5 % to 88.6 % for adverse events, from 25.5 % to 35.4 % for resistance — and Table 5 gives both columns so the reader can separate the literature's silence from this review's own documentary gap. Clinical success, the outcome that published syntheses pool, is reported with numerator and denominator in 66.0 % of arms. Two arms report a numerator larger than their denominator — thirteen clinical successes in one patient, and five adverse events in four — and are flagged as reporting errors, not read as proportions.</w:t>
      </w:r>
    </w:p>
    <w:p>
      <w:r>
        <w:t xml:space="preserve">That 66.0 % is misleading, however, if read as availability for pooling. </w:t>
      </w:r>
      <w:r>
        <w:rPr>
          <w:b/>
        </w:rPr>
        <w:t>In 71 of the 106 arms (67.0 %) no operational definition of clinical success is on record</w:t>
      </w:r>
      <w:r>
        <w:t>; over the 79 readable arms, in 45 (57.0 %). In 48 of them the reviewers established this by reading the article: 47 state a number of patients with a "good outcome" without saying what had to be observed to count one, and 1 left the field empty. In the remaining 23 the extraction is incomplete, so neither the presence nor the absence of a definition is on record; they are counted among those that do not supply one because the datum is not available to a reader of this review, not because its absence was established. A numerator without a definition names nothing comparable to another study's numerator.</w:t>
      </w:r>
    </w:p>
    <w:p>
      <w:r>
        <w:t xml:space="preserve">Study design is not always on record either: in 23 of the 106 arms it cannot be classified — 15 where both reviewers agreed on "NA" and 8 still open — so the design counts are floors over the remaining 83. Of those 83, </w:t>
      </w:r>
      <w:r>
        <w:rPr>
          <w:b/>
        </w:rPr>
        <w:t>8 arms are trials</w:t>
      </w:r>
      <w:r>
        <w:t xml:space="preserve"> (randomised or not) and </w:t>
      </w:r>
      <w:r>
        <w:rPr>
          <w:b/>
        </w:rPr>
        <w:t>9 are cohorts</w:t>
      </w:r>
      <w:r>
        <w:t>. Section 3.3 and Table 1 call only the trials comparative, which is why the figure there is 23 studies; when this section says comparative it also includes the cohorts, and there are 17 arms. They are not the same set.</w:t>
      </w:r>
    </w:p>
    <w:p>
      <w:r>
        <w:t xml:space="preserve">Crossing the requirements a pooled proportion would demand empties the corpus step by step. Four of them are arithmetic — comparative design, numerator, denominator and an operational definition — and leave </w:t>
      </w:r>
      <w:r>
        <w:rPr>
          <w:b/>
        </w:rPr>
        <w:t>2 of the 106 arms</w:t>
      </w:r>
      <w:r>
        <w:t>. The next two are the eligibility criteria this review itself declares in section 2.2, and none of those 3 survives them.</w:t>
      </w:r>
    </w:p>
    <w:p>
      <w:r>
        <w:t xml:space="preserve">The first is that the outcome be attributable to </w:t>
      </w:r>
      <w:r>
        <w:rPr>
          <w:i/>
        </w:rPr>
        <w:t>P. aeruginosa</w:t>
      </w:r>
      <w:r>
        <w:t xml:space="preserve">. Section 2.2 admits multi-pathogen studies only when the subgroup is separable, and in one of the three the extraction records that the article does not separate the data: its numerator counts patients of several species. Two remain. The second is that administration be therapeutic. The next of the three is a trial </w:t>
      </w:r>
      <w:r>
        <w:rPr>
          <w:i/>
        </w:rPr>
        <w:t>preventing</w:t>
      </w:r>
      <w:r>
        <w:t xml:space="preserve"> ventilator-associated pneumonia, and its outcome — absence of incident pneumonia — does not measure the same thing as cure of an established infection. One remains.</w:t>
      </w:r>
    </w:p>
    <w:p>
      <w:r>
        <w:t xml:space="preserve">That last one is PhagoBurn, whose primary outcome is the </w:t>
      </w:r>
      <w:r>
        <w:rPr>
          <w:i/>
        </w:rPr>
        <w:t>time</w:t>
      </w:r>
      <w:r>
        <w:t xml:space="preserve"> to a sustained reduction in bacterial burden [@Jault2019_phagoburn]: not a proportion, and one that would enter a meta-analysis of proportions only if the synthesist converted it into one. </w:t>
      </w:r>
      <w:r>
        <w:rPr>
          <w:b/>
        </w:rPr>
        <w:t>None remains.</w:t>
      </w:r>
    </w:p>
    <w:p>
      <w:r>
        <w:t xml:space="preserve">Put another way: of the 106 arms of this literature, </w:t>
      </w:r>
      <w:r>
        <w:rPr>
          <w:b/>
        </w:rPr>
        <w:t>not one meets both the arithmetic conditions and the eligibility criteria that would make its clinical success a legitimate term in a pooled proportion</w:t>
      </w:r>
      <w:r>
        <w:t>. It is not that the available studies are few: there are none. Table 6 sets out the funnel, step by step.</w:t>
      </w:r>
    </w:p>
    <w:p>
      <w:pPr>
        <w:pStyle w:val="Heading2"/>
      </w:pPr>
      <w:r>
        <w:t>3.6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Almost four studies in ten are single cases, in which the success proportion can only take the values 0 or 1 and its binomial variance is maximal. Pooling forty-nine denominators of one with a handful of larger series produces a weighted mean whose weights are set by series size rather than by evidential quality.</w:t>
      </w:r>
    </w:p>
    <w:p>
      <w:r>
        <w:rPr>
          <w:b/>
        </w:rPr>
        <w:t>Outcome.</w:t>
      </w:r>
      <w:r>
        <w:t xml:space="preserve"> Among the studies whose full text has been read, "clinical success" neither names the same thing nor measures on the same scale. At one end, composite long-term clinical cure: no implant loosening and walking without pain at 21 months [@Ferry2022_natcomms]. At the other, discharge criteria: patient discharged, de-cannulated and rehabilitated [@Aslam2019_ajt]. In between, the label without a criterion: "good clinical outcome" declared by the authors as binary, without stating what had to be observed [@Onallah2023_med].</w:t>
      </w:r>
    </w:p>
    <w:p>
      <w:r>
        <w:t xml:space="preserve">The problem is not only heterogeneity. </w:t>
      </w:r>
      <w:r>
        <w:rPr>
          <w:b/>
        </w:rPr>
        <w:t>Two of the landmark randomised trials report no binary success proportion at all</w:t>
      </w:r>
      <w:r>
        <w:t xml:space="preserve">: the primary endpoint of PhagoBurn is the </w:t>
      </w:r>
      <w:r>
        <w:rPr>
          <w:i/>
        </w:rPr>
        <w:t>time</w:t>
      </w:r>
      <w:r>
        <w:t xml:space="preserve"> to a sustained reduction in bacterial burden [@Jault2019_phagoburn], and that of BX004-A is a </w:t>
      </w:r>
      <w:r>
        <w:rPr>
          <w:i/>
        </w:rPr>
        <w:t>continuous</w:t>
      </w:r>
      <w:r>
        <w:t xml:space="preserve"> variable, the mean log-scale CFU reduction at day 15 [@Weiner2025_natcomms]. A meta-analysis of proportions cannot include them without binarising what their authors measured otherwise, and that conversion would be made by the synthesiser, not by the study.</w:t>
      </w:r>
    </w:p>
    <w:p>
      <w:r>
        <w:t xml:space="preserve">These definitions come from the full texts already retrieved, not from the pre-extraction from abstracts: </w:t>
      </w:r>
      <w:r>
        <w:rPr>
          <w:b/>
        </w:rPr>
        <w:t>no abstract in the corpus states a definition of clinical success</w:t>
      </w:r>
      <w:r>
        <w:t>, which is itself a datum about how the field reports.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retrieval bias documented in section 3.2, which as things stand would exclude two-thirds of the comparative studies from any synthesis. </w:t>
      </w:r>
      <w:r>
        <w:rPr>
          <w:b/>
        </w:rPr>
        <w:t>For these reasons no pooled efficacy proportion is presented here</w:t>
      </w:r>
      <w:r>
        <w:t>, and we argue that those published in previous reviews rest on assumptions these data do not verify.</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nine sources, no language restriction, regional literature and trial registers included. The result is 158 studies against the dozens handled by published reviews, and would have been 219 without the language restriction adopted at the end and without the 26 that reading the articles refuted. That increase does not speak well of the field's maturity. Most of it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Almost four retrievable studies in ten are a single case. Fewer than one in five is comparative. In four out of five, the resistance category by which stratification is attempted cannot be assigned. And almost one identified study in three exists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60 of 158 studies are registry entries without a locatable publication is a first-order publication-bias problem, and no statistical method resolves it.</w:t>
      </w:r>
    </w:p>
    <w:p>
      <w:pPr>
        <w:pStyle w:val="Heading2"/>
      </w:pPr>
      <w:r>
        <w:t>4.4 Strengths and limitations</w:t>
      </w:r>
    </w:p>
    <w:p>
      <w:r>
        <w:rPr>
          <w:b/>
        </w:rPr>
        <w:t>Strengths.</w:t>
      </w:r>
      <w:r>
        <w:t xml:space="preserve"> The search covered nine sources across two separate streams, with no language restriction. Selection used a closed vocabulary fixed in advance and was audited against a positive-control set defined before screening began, which allows us to state, rather than merely hope, that screening lost no known eligible study. The whole pipeline is re-runnable code with content-derived keys, and an automated check reconciles each link with the next.</w:t>
      </w:r>
    </w:p>
    <w:p>
      <w:r>
        <w:rPr>
          <w:b/>
        </w:rPr>
        <w:t>Limitations.</w:t>
      </w:r>
      <w:r>
        <w:t xml:space="preserve"> There are five, and all are material. </w:t>
      </w:r>
      <w:r>
        <w:rPr>
          <w:b/>
        </w:rPr>
        <w:t>First</w:t>
      </w:r>
      <w:r>
        <w:t xml:space="preserve">, the search did not query Embase or the WHO ICTRP, which reduces coverage of case series and conference abstracts and leaves the register stream limited to the United States and the European Union. </w:t>
      </w:r>
      <w:r>
        <w:rPr>
          <w:b/>
        </w:rPr>
        <w:t>Second</w:t>
      </w:r>
      <w:r>
        <w:t xml:space="preserve">, it was limited to publications from 2016 to 2026, so it describes recent output rather than the whole field. </w:t>
      </w:r>
      <w:r>
        <w:rPr>
          <w:b/>
        </w:rPr>
        <w:t>Third</w:t>
      </w:r>
      <w:r>
        <w:t xml:space="preserve">, this report describes how completely outcomes are reported (section 3.5) but presents no efficacy estimates, no risk-of-bias assessment and no GRADE certainty (section 2.7): it is a characterisation of the evidence base, not a synthesis of its results. </w:t>
      </w:r>
      <w:r>
        <w:rPr>
          <w:b/>
        </w:rPr>
        <w:t>Fourth</w:t>
      </w:r>
      <w:r>
        <w:t xml:space="preserve">, full text was obtained for 72.4 % of the retrievable studies, and the missing fraction is enriched in comparative designs, so what is described under-represents the comparative part of the field. </w:t>
      </w:r>
      <w:r>
        <w:rPr>
          <w:b/>
        </w:rPr>
        <w:t>Fifth</w:t>
      </w:r>
      <w:r>
        <w:t>, the restriction to English and Spanish was adopted once screening had closed and removed 35 studies, 18 of them comparative and one from the positive-control set; it pushes the corpus in the same direction as the retrieval bias and narrows what this review can say about the literature of Eastern Europe.</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Ethics approval and consent.</w:t>
      </w:r>
      <w:r>
        <w:t xml:space="preserve"> Not applicable. This review synthesises already-published literature and aggregate data from public trial registers; it involves no patients, no specimens and no identifiable individual data, and therefore required neither ethics committee approval nor informed consent. No formal waiver was sought because the institution does not require one for studies without primary data.</w:t>
      </w:r>
    </w:p>
    <w:p>
      <w:r>
        <w:rPr>
          <w:b/>
        </w:rPr>
        <w:t>Competing interests.</w:t>
      </w:r>
      <w:r>
        <w:t xml:space="preserve"> The authors declare no competing interests.</w:t>
      </w:r>
    </w:p>
    <w:p>
      <w:r>
        <w:rPr>
          <w:b/>
        </w:rPr>
        <w:t>Author contributions (CRediT).</w:t>
      </w:r>
      <w:r>
        <w:t xml:space="preserve"> </w:t>
      </w:r>
      <w:r>
        <w:rPr>
          <w:b/>
        </w:rPr>
        <w:t>D. Valdiviezo:</w:t>
      </w:r>
      <w:r>
        <w:t xml:space="preserve"> conceptualisation, methodology, investigation (design and execution of the searches across the nine sources), software (screening, grouping and figure-computation pipeline), data curation, data extraction, writing — original draft, visualisation, project administration. </w:t>
      </w:r>
      <w:r>
        <w:rPr>
          <w:b/>
        </w:rPr>
        <w:t>N. Trelles:</w:t>
      </w:r>
      <w:r>
        <w:t xml:space="preserve"> methodology (outcome definitions), investigation, independent data extraction (122 of the 124 studies), validation, writing — review and editing.</w:t>
      </w:r>
    </w:p>
    <w:p>
      <w:r>
        <w:rPr>
          <w:b/>
        </w:rPr>
        <w:t>Data and code availability.</w:t>
      </w:r>
      <w:r>
        <w:t xml:space="preserve"> All material supporting this review is deposited in a public, citable repository: the search corpus with the raw exports of all nine sources, the append-only decision logs of the three screening stages, both reviewers' extraction workbooks, the methodological decision records with their dates, and the complete pipeline code, which is re-executable from search to the figures in the manuscript. ‹‹DEPOSIT DOI — TO BE COMPLETED BEFORE SUBMISSION››. The decision logs are append-only and preserve every correction alongside the row it supersedes.</w:t>
      </w:r>
    </w:p>
    <w:p>
      <w:r>
        <w:rPr>
          <w:b/>
        </w:rPr>
        <w:t>Use of artificial intelligence.</w:t>
      </w:r>
      <w:r>
        <w:t xml:space="preserve"> Screening was conducted by a single human reviewer, without duplication by a second reviewer. A generative language model (Claude Opus 5, Anthropic) was used to issue the record-by-record decisions of title and abstract screening and for the pre-extraction from abstracts, applying criteria and a closed vocabulary fixed in advance by the authors, and in programming and drafting assistance. Reports that survived screening were reviewed one by one by the authors; those the model excluded were not re-read by a human. The design and execution of the searches, the fixing of the eligibility criteria and the data extraction were carried out without the model. Every screening decision is logged with its reason and timestamp and is supplied in full (S3, S4). The authors take responsibility for the accuracy and integrity of the work. No AI tool is listed as an author, in line with ICMJE recommendations.</w:t>
      </w:r>
    </w:p>
    <w:p>
      <w:r>
        <w:rPr>
          <w:b/>
        </w:rPr>
        <w:t>Acknowledgements.</w:t>
      </w:r>
      <w:r>
        <w:t xml:space="preserve"> The authors thank the library staff of Universidad Católica de Cuenca for handling the interlibrary loan requests, and the authors of the studies who responded to full-text requests.</w:t>
      </w:r>
    </w:p>
    <w:p>
      <w:pPr>
        <w:pStyle w:val="Heading1"/>
      </w:pPr>
      <w:r>
        <w:t>Tables and figures</w:t>
      </w:r>
    </w:p>
    <w:p>
      <w:r>
        <w:t>The six tables are supplied as separate files (`paper/tablas/`), each with its own footnote. Both figures are supplied as vector PDF (`paper/figuras/`).</w:t>
      </w:r>
    </w:p>
    <w:p>
      <w:r>
        <w:rPr>
          <w:b/>
        </w:rPr>
        <w:t>Table 1.</w:t>
      </w:r>
      <w:r>
        <w:t xml:space="preserve"> Characteristics of the retrievable evidence base (n = 98 studies).</w:t>
      </w:r>
    </w:p>
    <w:p>
      <w:r>
        <w:rPr>
          <w:b/>
        </w:rPr>
        <w:t>Table 2.</w:t>
      </w:r>
      <w:r>
        <w:t xml:space="preserve"> Reporting completeness for variables critical to stratification.</w:t>
      </w:r>
    </w:p>
    <w:p>
      <w:r>
        <w:rPr>
          <w:b/>
        </w:rPr>
        <w:t>Table 3.</w:t>
      </w:r>
      <w:r>
        <w:t xml:space="preserve"> Comparison of studies with and without full text obtained.</w:t>
      </w:r>
    </w:p>
    <w:p>
      <w:r>
        <w:rPr>
          <w:b/>
        </w:rPr>
        <w:t>Table 4.</w:t>
      </w:r>
      <w:r>
        <w:t xml:space="preserve"> Exclusion reasons by stage, using the closed vocabulary.</w:t>
      </w:r>
    </w:p>
    <w:p>
      <w:r>
        <w:rPr>
          <w:b/>
        </w:rPr>
        <w:t>Table 5.</w:t>
      </w:r>
      <w:r>
        <w:t xml:space="preserve"> Reporting completeness for the five declared outcomes, over the adjudicated extraction (n = 106 arms).</w:t>
      </w:r>
    </w:p>
    <w:p>
      <w:r>
        <w:rPr>
          <w:b/>
        </w:rPr>
        <w:t>Table 6.</w:t>
      </w:r>
      <w:r>
        <w:t xml:space="preserve"> Arms surviving each requirement for a pooled proportion of clinical success (n = 106 arms).</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grey box is not part of the selection flow: it reports how many included studies have been read in full text to date. </w:t>
      </w:r>
      <w:r>
        <w:rPr>
          <w:i/>
        </w:rPr>
        <w:t>Source.</w:t>
      </w:r>
      <w:r>
        <w:t xml:space="preserve"> Project screening pipeline; final search run, 10 August 2026.</w:t>
      </w:r>
    </w:p>
    <w:p>
      <w:r>
        <w:rPr>
          <w:b/>
        </w:rPr>
        <w:t>Figure 2. Composition of the retrievable evidence base (n = 98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98 studies with a retrievable publication.</w:t>
      </w:r>
    </w:p>
    <w:p>
      <w:pPr>
        <w:pStyle w:val="Heading1"/>
      </w:pPr>
      <w:r>
        <w:t>Supplementary material</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184 estudios con su situación y sus informes agrupados.</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S14.</w:t>
      </w:r>
      <w:r>
        <w:t xml:space="preserve"> Adjudicated extraction: one value per cell, arm by arm, after consensus. Underpins section 3.5 and Tables 5 and 6.</w:t>
      </w:r>
    </w:p>
    <w:p>
      <w:pPr>
        <w:pStyle w:val="ListBullet"/>
      </w:pPr>
      <w:r>
        <w:rPr>
          <w:b/>
        </w:rPr>
        <w:t>S15.</w:t>
      </w:r>
      <w:r>
        <w:t xml:space="preserve"> Provenance of every cell in S14: agreement, consensus, single reading, or still open.</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