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Verificables — Revisión sistemática de fagoterapia en Pseudomonas aeruginosa multirresistente</w:t>
      </w:r>
    </w:p>
    <w:p>
      <w:r>
        <w:rPr>
          <w:i/>
          <w:sz w:val="19"/>
        </w:rPr>
        <w:t>Índice del paquete. Cada archivo responde a un ítem de PRISMA 2020 o a un requisito del ICMJE.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  <w:t>Archivo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Qué contiene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Responde 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S0_informe_editorial.docx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Evaluación editorial previa: qué bloquea la publicación y qué solo la mejora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Se adjunta a propósito; PRISMA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manuscrito_es.docx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español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manuscript_en.docx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inglés, para envío a revista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S1_lista_PRISMA_2020.docx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Lista de comprobación ítem por ítem, con estado y ubicación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S2_estrategias_de_busqueda.docx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Sintaxis literal por fuente, fecha y número de resultados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6 y 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S3_decisiones_etapa2_titulo.xlsx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Registro solo-anexar de toda decisión de cribado por título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S3_decisiones_etapa3_resumen.xlsx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Ídem para el cribado por resumen, con la corriente PRISMA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8 y 16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S4_pre_extraccion_desde_resumen.xlsx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Pre-extracción de los 95 estudios, marcada como parcial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9 y 10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S5_listado_155_estudios.xlsx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155 estudios con situación, diseño, procedencia y si se obtuvo el texto completo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S6_auditoria_controles_positivos.docx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Prueba de que el cribado no perdió estudios elegibles conocidos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Metodológico; refuerza el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S7_declaraciones_ICMJE.docx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Financiación, conflictos, CRediT, registro, datos y uso de IA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ICMJE; PRISMA ítems 24 a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S8_recuperacion_texto_completo.xlsx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Vía de recuperación resuelta para cada informe sin DOI editorial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Justifica el 46,5 % de §3.2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S9_idioma_por_informe_y_clase_de_evidencia.xlsx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 cada informe incluido, con la clase de evidencia y la prueba concreta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S10_idioma_verificado_sobre_texto_completo.xlsx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determinado sobre el texto completo de cada PDF recuperado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S11_concordancia_entre_extractores.pdf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Concordancia entre las dos extracciones independientes, variable a variable, antes de resolver nada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S12_resolucion_de_conflictos.pdf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Dónde está hoy cada desacuerdo y con qué se resuelve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S13_reglas_de_extraccion_de_desenlaces.pdf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Definición de erradicación y de éxito clínico, con su corrección documentada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10a y 13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S14_extraccion_adjudicada.csv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Extracción definitiva, un valor por casilla tras el consenso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10a y 19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S15_procedencia_de_cada_casilla.csv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 cada casilla la acordaron los dos, la firmó el consenso, o la leyó uno solo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9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00_GUIA_DEL_MATERIAL_SUPLEMENTARIO.pdf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Guía en lengua llana: qué pregunta contesta cada fichero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Orientación para el revisor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figuras y tablas/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Figuras 1 y 2 en PDF vectorial; tablas 1 a 4 en CSV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16a</w:t>
            </w:r>
          </w:p>
        </w:tc>
      </w:tr>
    </w:tbl>
    <w:p/>
    <w:p>
      <w:pPr>
        <w:pStyle w:val="Heading1"/>
      </w:pPr>
      <w:r>
        <w:t>Estado del envío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Búsqueda en 8 fuentes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Cribado por título y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 — 155 estudios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Verificación del criterio de idioma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190 informes, ninguno sin prueba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Agrupación de informes en estudios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Pre-extracción desde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95 de 95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Recuperación de texto completo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PARCIAL — 71 de 95 (74.7 %)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Extracción por duplicado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122 de 124 estudios (98 %)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Adjudicación de los desacuerdos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14 de 541 sin firmar; bloquea reportar desenlaces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Validación del cribado en Rayyan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0 falsos negativos en 350 registros recribados a ciegas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Riesgo de sesgo y GRADE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depende de la adjudicación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Registro en PROSPERO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declarado como ausente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Manuscrito y figuras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COMPLETOS</w:t>
            </w:r>
          </w:p>
        </w:tc>
      </w:tr>
    </w:tbl>
    <w:p/>
    <w:p>
      <w:r>
        <w:rPr>
          <w:i/>
          <w:color w:val="444444"/>
          <w:sz w:val="17"/>
        </w:rPr>
        <w:t>Todas las cifras de este paquete y del manuscrito se generan desde el canal de datos. Una comprobación automática recorre el manuscrito y falla si alguna cifra del texto no procede de él.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