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246; main text 3 581.</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w:t>
      </w:r>
    </w:p>
    <w:p>
      <w:r>
        <w:rPr>
          <w:b/>
        </w:rPr>
        <w:t>Results.</w:t>
      </w:r>
      <w:r>
        <w:t xml:space="preserve"> From 23 057 records, 17 129 unique reports remained. Full-text assessment covered 234 reports, which grouped into 185 studies; 125 of these have a retrievable publication. Single case reports account for 39.2 % and only 19.2 % are comparative designs. Geographic origin is not stated in 60.8 % and resistance class is not stated in 70.4 %. Full text was obtained for 63 studies (50.4 %); the remaining fraction concentrates 66.7 % of the comparative designs. The language criterion removed 34 studies, 17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two reports whose metadata declared English and whose text is in Russian; both were excluded. The 234 included reports rest on one of three classes of evidence: 205 on analysis of their own text, 26 on the language rule of the trial register that publishes them, and 3 on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159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34 reports</w:t>
      </w:r>
      <w:r>
        <w:t xml:space="preserve"> and with them </w:t>
      </w:r>
      <w:r>
        <w:rPr>
          <w:b/>
        </w:rPr>
        <w:t>34 whole studies</w:t>
      </w:r>
      <w:r>
        <w:t>, none of which retained a report in an admissible language. The corpus fell from 219 to 185 studies and from 159 to 125 studies with a retrievable publication. The loss was not evenly spread: of 41 comparative designs, 24 remained, and of 21 randomised trials, 16.</w:t>
      </w:r>
    </w:p>
    <w:p>
      <w:r>
        <w:t>Two of those 34 were detected only by reading the PDF. Their metadata declared English; their full text is in Russian, with Cyrillic dominating the body of the article. Had verification stopped at the source language field, both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226 were excluded and </w:t>
      </w:r>
      <w:r>
        <w:rPr>
          <w:b/>
        </w:rPr>
        <w:t>234 reports proceeded to full text</w:t>
      </w:r>
      <w:r>
        <w:t xml:space="preserve">. Grouped by study, those 234 reports correspond to </w:t>
      </w:r>
      <w:r>
        <w:rPr>
          <w:b/>
        </w:rPr>
        <w:t>185 studies</w:t>
      </w:r>
      <w:r>
        <w:t>: 155 with a single report and 30 with several, up to a maximum of eleven reports of one trial.</w:t>
      </w:r>
    </w:p>
    <w:p>
      <w:r>
        <w:t xml:space="preserve">Of the 185 studies, </w:t>
      </w:r>
      <w:r>
        <w:rPr>
          <w:b/>
        </w:rPr>
        <w:t>125 have a retrievable publication</w:t>
      </w:r>
      <w:r>
        <w:t xml:space="preserve">: 122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(34)</w:t>
      </w:r>
      <w:r>
        <w:t>, laboratory (18) and secondary synthesis (5).</w:t>
      </w:r>
    </w:p>
    <w:p>
      <w:pPr>
        <w:pStyle w:val="Heading2"/>
      </w:pPr>
      <w:r>
        <w:t>3.2 Full-text retrieval and its bias</w:t>
      </w:r>
    </w:p>
    <w:p>
      <w:r>
        <w:t xml:space="preserve">Full text was obtained for </w:t>
      </w:r>
      <w:r>
        <w:rPr>
          <w:b/>
        </w:rPr>
        <w:t>63 of the 125 retrievable studies (50.4 %)</w:t>
      </w:r>
      <w:r>
        <w:t xml:space="preserve"> through legitimate open-access routes. The remaining 62 require interlibrary loan, institutional access or a request to the authors.</w:t>
      </w:r>
    </w:p>
    <w:p>
      <w:r>
        <w:t xml:space="preserve">The unretrieved fraction </w:t>
      </w:r>
      <w:r>
        <w:rPr>
          <w:b/>
        </w:rPr>
        <w:t>is not a random sample of the whole</w:t>
      </w:r>
      <w:r>
        <w:t xml:space="preserve"> (Table 3). It contains 16 of the 24 comparative studies, </w:t>
      </w:r>
      <w:r>
        <w:rPr>
          <w:b/>
        </w:rPr>
        <w:t>66.7 %</w:t>
      </w:r>
      <w:r>
        <w:t>, and reports more patients than the retrieved fraction. Among those unread comparative studies are the field's four landmark randomised trials [@Jault2019_phagoburn; @Leitner2021_lancetid_pyophage; @NirPaz2025_med_tp102; @Chan2023_jcf_cyphy]; one of them, the Yale trial, has no full journal article, only a conference abstract and results deposited in the register.</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125 retrievable studies were published between </w:t>
      </w:r>
      <w:r>
        <w:rPr>
          <w:b/>
        </w:rPr>
        <w:t>2016 and 2026</w:t>
      </w:r>
      <w:r>
        <w:t xml:space="preserve">, and </w:t>
      </w:r>
      <w:r>
        <w:rPr>
          <w:b/>
        </w:rPr>
        <w:t>83.2 %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(39.2 %)</w:t>
      </w:r>
      <w:r>
        <w:t xml:space="preserve">, 19 case series, 16 randomised trials, 13 prospective cohorts, 8 non-randomised trials and 4 retrospective cohorts. A further 16 do not state a recognisable design in the abstract. Comparative designs total </w:t>
      </w:r>
      <w:r>
        <w:rPr>
          <w:b/>
        </w:rPr>
        <w:t>24 studies, 19.2 %</w:t>
      </w:r>
      <w:r>
        <w:t xml:space="preserve"> of the whole, and are the only ones able to sustain a claim of relative efficacy.</w:t>
      </w:r>
    </w:p>
    <w:p>
      <w:r>
        <w:t>Where stated, geographic origin is spread across Russia (8 studies), Poland and Georgia (6 each), Germany (4), France and the United States (3 each), and Belgium, Spain and India (2 each). It is not stated in 76 studies. The fall in Russian representation relative to the pre-amendment corpus, from 34 studies to 8,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70.4 %</w:t>
      </w:r>
      <w:r>
        <w:t xml:space="preserve"> of studies.</w:t>
      </w:r>
    </w:p>
    <w:p>
      <w:pPr>
        <w:pStyle w:val="ListBullet"/>
      </w:pPr>
      <w:r>
        <w:rPr>
          <w:b/>
        </w:rPr>
        <w:t>Route of administration</w:t>
      </w:r>
      <w:r>
        <w:t xml:space="preserve"> is not stated in </w:t>
      </w:r>
      <w:r>
        <w:rPr>
          <w:b/>
        </w:rPr>
        <w:t>56.8 %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52.8 %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185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50.4 % of the retrievable studies, and the missing fraction is enriched in comparative designs, so what is described here under-represents the comparative part of the field. </w:t>
      </w:r>
      <w:r>
        <w:rPr>
          <w:b/>
        </w:rPr>
        <w:t>Fourth</w:t>
      </w:r>
      <w:r>
        <w:t xml:space="preserve">, screening was performed by a single reviewer supported by explicit rules, with a positive-control audit but without independent duplication. Duplication is planned for the extraction stage. </w:t>
      </w:r>
      <w:r>
        <w:rPr>
          <w:b/>
        </w:rPr>
        <w:t>Fifth</w:t>
      </w:r>
      <w:r>
        <w:t>, the restriction to English and Spanish was adopted once screening had closed, and removed 34 studies, 17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159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159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159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