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estructura y la verificabilidad del cuerpo de evidencia clínica</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258; texto principal 3 855.</w:t>
      </w:r>
    </w:p>
    <w:p>
      <w:r>
        <w:rPr>
          <w:b/>
        </w:rPr>
        <w:t>Tablas:</w:t>
      </w:r>
      <w:r>
        <w:t xml:space="preserve"> 4. </w:t>
      </w:r>
      <w:r>
        <w:rPr>
          <w:b/>
        </w:rPr>
        <w:t>Figuras:</w:t>
      </w:r>
      <w:r>
        <w:t xml:space="preserve"> 2. </w:t>
      </w:r>
      <w:r>
        <w:rPr>
          <w:b/>
        </w:rPr>
        <w:t>Material suplementario:</w:t>
      </w:r>
      <w:r>
        <w:t xml:space="preserve"> 6 archivos.</w:t>
      </w:r>
    </w:p>
    <w:p>
      <w:pPr>
        <w:pStyle w:val="Heading1"/>
      </w:pPr>
      <w:r>
        <w:t>Resumen</w:t>
      </w:r>
    </w:p>
    <w:p>
      <w:r>
        <w:rPr>
          <w:b/>
        </w:rPr>
        <w:t>Antecedentes.</w:t>
      </w:r>
      <w:r>
        <w:t xml:space="preserve"> </w:t>
      </w:r>
      <w:r>
        <w:rPr>
          <w:i/>
        </w:rPr>
        <w:t>Pseudomonas aeruginosa</w:t>
      </w:r>
      <w:r>
        <w:t xml:space="preserve"> multirresistente es un patógeno de prioridad crítica de la OMS. Varias síntesis recientes han agregado los desenlaces de la fagoterapia en proporciones globales de éxito. Hacerlo da por supuesto que este cuerpo de evidencia admite agregación, y nadie ha examinado ese supuesto.</w:t>
      </w:r>
    </w:p>
    <w:p>
      <w:r>
        <w:rPr>
          <w:b/>
        </w:rPr>
        <w:t>Objetivos.</w:t>
      </w:r>
      <w:r>
        <w:t xml:space="preserve"> Delimitar de forma reproducible la literatura clínica sobre fagoterapia en </w:t>
      </w:r>
      <w:r>
        <w:rPr>
          <w:i/>
        </w:rPr>
        <w:t>P. aeruginosa</w:t>
      </w:r>
      <w:r>
        <w:t xml:space="preserve"> resistente y determinar si su estructura y su reporte permiten una síntesis cuantitativa de eficacia.</w:t>
      </w:r>
    </w:p>
    <w:p>
      <w:r>
        <w:rPr>
          <w:b/>
        </w:rPr>
        <w:t>Métodos.</w:t>
      </w:r>
      <w:r>
        <w:t xml:space="preserve"> Revisión sistemática conforme a PRISMA 2020, con corrientes separadas para bases y registros de ensayos. Se interrogaron nueve fuentes sin restricción de fecha, incluidas BVS y SciELO. Solo se admitieron informes en inglés o español, criterio incorporado como enmienda posterior al cribado y verificado informe a informe, también sobre el texto completo de cada PDF. La unidad de inclusión fue el estudio, no el informe.</w:t>
      </w:r>
    </w:p>
    <w:p>
      <w:r>
        <w:rPr>
          <w:b/>
        </w:rPr>
        <w:t>Resultados.</w:t>
      </w:r>
      <w:r>
        <w:t xml:space="preserve"> De 23 057 registros quedaron 17 129 informes únicos. Pasaron a texto completo 234, agrupados en 185 estudios; 125 de ellos tienen publicación recuperable. El 39,2 % son casos únicos y solo el 19,2 % son comparativos. No consta la procedencia geográfica en el 60,8 % ni la clase de resistencia en el 70,4 %. Se obtuvo el texto completo de 63 estudios (50,4 %); la fracción restante concentra el 66,7 % de los diseños comparativos. El criterio de idioma eliminó 34 estudios, 17 de ellos comparativos.</w:t>
      </w:r>
    </w:p>
    <w:p>
      <w:r>
        <w:rPr>
          <w:b/>
        </w:rPr>
        <w:t>Conclusiones.</w:t>
      </w:r>
      <w:r>
        <w:t xml:space="preserve"> El cuerpo de evidencia es amplio y, a la vez, estructuralmente inadecuado para una síntesis cuantitativa de eficacia. Las proporciones de éxito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ocupa un lugar estable entre los patógenos prioritarios de la Organización Mundial de la Salud [@Tacconelli2018_who; @WHO2024_bppl].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@Krakhotkin2025_currurol].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y la completitud de reporte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Esta revisión se condujo conforme a la declaración PRISMA 2020 [@Page2021_prisma]. La lista de comprobación completa acompaña al manuscrito como material suplementario.</w:t>
      </w:r>
    </w:p>
    <w:p>
      <w:r>
        <w:rPr>
          <w:b/>
        </w:rPr>
        <w:t>Esta revisión no está registrada</w:t>
      </w:r>
      <w:r>
        <w:t xml:space="preserve"> en PROSPERO ni en OSF. Se declara la ausencia en lugar de omitirla porque el registro prospectivo es una salvaguarda contra la modificación </w:t>
      </w:r>
      <w:r>
        <w:rPr>
          <w:i/>
        </w:rPr>
        <w:t>post hoc</w:t>
      </w:r>
      <w:r>
        <w:t xml:space="preserve"> de los desenlaces, y su ausencia es información que el lector necesita para calibrar la revisión. El protocolo, las decisiones metodológicas y sus fechas quedaron registrados de forma inalterable en el repositorio de trabajo desde el inicio (sección 2.7).</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dos informes cuyos metadatos declaraban inglés y cuyo texto está en ruso, y ambos se excluyeron. Los 234 informes incluidos quedan respaldados por una de tres clases de evidencia: 205 por el análisis de su propio texto, 26 por la norma de idioma del registro de ensayos que los publica, y 3 por el campo de idioma de la fuente.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w:t>
      </w:r>
    </w:p>
    <w:p>
      <w:pPr>
        <w:pStyle w:val="Heading2"/>
      </w:pPr>
      <w:r>
        <w:t>2.3 Fuentes de información y estrategia de búsqueda</w:t>
      </w:r>
    </w:p>
    <w:p>
      <w:r>
        <w:t xml:space="preserve">Se interrogaron nueve fuentes en las dos corrientes que PRISMA 2020 exige separar. Como </w:t>
      </w:r>
      <w:r>
        <w:rPr>
          <w:b/>
        </w:rPr>
        <w:t>bases bibliográficas</w:t>
      </w:r>
      <w:r>
        <w:t xml:space="preserve">: PubMed, Scopus en dos brazos (uno con el organismo primero y otro con la intervención primero), Cochrane CENTRAL, BVS con LILACS, CUMED, BINACIS y MedCarib, y SciELO. Como </w:t>
      </w:r>
      <w:r>
        <w:rPr>
          <w:b/>
        </w:rPr>
        <w:t>registros de ensayos</w:t>
      </w:r>
      <w:r>
        <w:t>: ClinicalTrials.gov, EudraCT y CTIS. No se restringió el idioma, la fecha ni el tipo de publicación. La última ejecución fue el 10 de agosto de 2026.</w:t>
      </w:r>
    </w:p>
    <w:p>
      <w:r>
        <w:t>Las ecuaciones completas se aportan como suplemento, con la sintaxis literal de cada interfaz, el número de resultados y la fecha en que se corrió. Incluir BVS y SciELO fue una decisión deliberada. La experiencia clínica con fagos publicada en Europa del Este e Iberoamérica está sistemáticamente subrepresentada en PubMed y Scopus, y dejarla fuera habría inclinado la revisión hacia la literatura anglosajona sin decirlo.</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usaron un </w:t>
      </w:r>
      <w:r>
        <w:rPr>
          <w:b/>
        </w:rPr>
        <w:t>vocabulario cerrado de seis códigos</w:t>
      </w:r>
      <w:r>
        <w:t xml:space="preserve"> (ORG, REV, SEC, LAB, VET, OFF) fijado antes de empezar. Un motivo que no encaje en uno de los seis no recibe un séptimo código improvisado sobre la marcha: el registro avanza a la etapa siguiente para que lo lea una persona.</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w:t>
      </w:r>
    </w:p>
    <w:p>
      <w:r>
        <w:t xml:space="preserve">Antes de iniciar el cribado se fijó un conjunto de 40 estudios conocidos a priori como elegibles, identificados en una revisión exploratoria previa.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pPr>
        <w:pStyle w:val="Heading2"/>
      </w:pPr>
      <w:r>
        <w:t>2.6 Extracción de datos</w:t>
      </w:r>
    </w:p>
    <w:p>
      <w:r>
        <w:t xml:space="preserve">El formulario de extracción, con 31 variables y vocabularios controlados, se piloteó sobre cinco estudios antes de su uso. La extracción está planificada </w:t>
      </w:r>
      <w:r>
        <w:rPr>
          <w:b/>
        </w:rPr>
        <w:t>por duplicado e independiente</w:t>
      </w:r>
      <w:r>
        <w:t xml:space="preserve"> entre los dos revisores, con resolución de discrepancias por consenso y cálculo de la concordancia (kappa de Cohen) variable a variable.</w:t>
      </w:r>
    </w:p>
    <w:p>
      <w:r>
        <w:rPr>
          <w:b/>
        </w:rPr>
        <w:t>Estado en el momento de este informe.</w:t>
      </w:r>
      <w:r>
        <w:t xml:space="preserve"> La extracción por duplicado está en curso y </w:t>
      </w:r>
      <w:r>
        <w:rPr>
          <w:b/>
        </w:rPr>
        <w:t>no ha concluido</w:t>
      </w:r>
      <w:r>
        <w:t xml:space="preserve">. Los datos que se reportan aquí proceden de una pre-extracción sistemática desde el resumen de los 159 estudios con publicación recuperable, realizada con el mismo esquema de variables y marcada de forma explícita como parcial en cada registro. En consecuencia, </w:t>
      </w:r>
      <w:r>
        <w:rPr>
          <w:b/>
        </w:rPr>
        <w:t>este informe no presenta estimaciones de eficacia</w:t>
      </w:r>
      <w:r>
        <w:t>: presenta la estructura del cuerpo de evidencia y su completitud de reporte, que es lo que la pre-extracción sí sostiene. Las variables de desenlace se reportarán cuando la extracción por duplicado concluya.</w:t>
      </w:r>
    </w:p>
    <w:p>
      <w:pPr>
        <w:pStyle w:val="Heading2"/>
      </w:pPr>
      <w:r>
        <w:t>2.7 Riesgo de sesgo y certeza</w:t>
      </w:r>
    </w:p>
    <w:p>
      <w:r>
        <w:t>Se preveía evaluar el riesgo de sesgo con RoB 2 para ensayos aleatorizados [@Sterne2019_rob2], ROBINS-I para estudios no aleatorizados [@Sterne2016_robinsi] y los dominios de Murad para reportes y series de casos [@Murad2018_casereports; @Munn2020_jbicaseseries], y la certeza con GRADE [@Guyatt2011_grade]. Estas evaluaciones dependen del texto completo y se reportarán con la extracción definitiva.</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3.5.</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Enmienda al protocolo: criterio de idioma</w:t>
      </w:r>
    </w:p>
    <w:p>
      <w:r>
        <w:t>El 11 de agosto de 2026, con el cribado concluido y los 219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34 informes</w:t>
      </w:r>
      <w:r>
        <w:t xml:space="preserve"> y con ellos </w:t>
      </w:r>
      <w:r>
        <w:rPr>
          <w:b/>
        </w:rPr>
        <w:t>34 estudios completos</w:t>
      </w:r>
      <w:r>
        <w:t>, porque ninguno conservaba un informe en lengua admitida. El corpus pasó de 219 a 185 estudios y de 159 a 125 estudios con publicación recuperable. La pérdida no se repartió de forma uniforme: de los 41 diseños comparativos quedaron 24,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pPr>
        <w:pStyle w:val="Heading1"/>
      </w:pPr>
      <w:r>
        <w:t>3. Resultados</w:t>
      </w:r>
    </w:p>
    <w:p>
      <w:pPr>
        <w:pStyle w:val="Heading2"/>
      </w:pPr>
      <w:r>
        <w:t>3.1 Selección de los estudios</w:t>
      </w:r>
    </w:p>
    <w:p>
      <w:r>
        <w:t xml:space="preserve">Las nueve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226 y </w:t>
      </w:r>
      <w:r>
        <w:rPr>
          <w:b/>
        </w:rPr>
        <w:t>234 informes pasaron a texto completo</w:t>
      </w:r>
      <w:r>
        <w:t xml:space="preserve">. Al agrupar los informes por estudio, esos 234 corresponden a </w:t>
      </w:r>
      <w:r>
        <w:rPr>
          <w:b/>
        </w:rPr>
        <w:t>185 estudios</w:t>
      </w:r>
      <w:r>
        <w:t>: 155 con un solo informe y 30 con varios, hasta un máximo de once informes de un mismo ensayo.</w:t>
      </w:r>
    </w:p>
    <w:p>
      <w:r>
        <w:t xml:space="preserve">De los 185 estudios, </w:t>
      </w:r>
      <w:r>
        <w:rPr>
          <w:b/>
        </w:rPr>
        <w:t>125 tienen publicación recuperable</w:t>
      </w:r>
      <w:r>
        <w:t xml:space="preserve">: 122 artículos y 3 que solo existen como resumen de congreso. Los </w:t>
      </w:r>
      <w:r>
        <w:rPr>
          <w:b/>
        </w:rPr>
        <w:t>60 restantes son únicamente fichas de registro de ensayo</w:t>
      </w:r>
      <w:r>
        <w:t>, sin publicación asociada localizable. Esa cifra basta por sí sola para describir un campo en el que casi uno de cada tres estudios registrados no ha publicado resultados.</w:t>
      </w:r>
    </w:p>
    <w:p>
      <w:r>
        <w:t xml:space="preserve">Los motivos de exclusión por título fueron trabajo de laboratorio o preclínico (4 062), organismo distinto sin subgrupo separable (3 031), revisión o comentario sin datos primarios (2 807), no evalúa fagoterapia en pacientes (2 634), ámbito veterinario (838) y síntesis secundaria (84). En la lectura de resumen: organismo distinto (65), revisión o comentario (64), no evalúa fagoterapia (40), </w:t>
      </w:r>
      <w:r>
        <w:rPr>
          <w:b/>
        </w:rPr>
        <w:t>idioma no admitido (34)</w:t>
      </w:r>
      <w:r>
        <w:t>, laboratorio (18) y síntesis secundaria (5).</w:t>
      </w:r>
    </w:p>
    <w:p>
      <w:pPr>
        <w:pStyle w:val="Heading2"/>
      </w:pPr>
      <w:r>
        <w:t>3.2 Recuperación del texto completo y su sesgo</w:t>
      </w:r>
    </w:p>
    <w:p>
      <w:r>
        <w:t xml:space="preserve">Se obtuvo el texto completo de </w:t>
      </w:r>
      <w:r>
        <w:rPr>
          <w:b/>
        </w:rPr>
        <w:t>63 de los 125 estudios recuperables (50,4 %)</w:t>
      </w:r>
      <w:r>
        <w:t xml:space="preserve"> por vías de acceso abierto legítimas. Los 62 restantes requieren préstamo interbibliotecario, acceso institucional o solicitud a los autores.</w:t>
      </w:r>
    </w:p>
    <w:p>
      <w:r>
        <w:t xml:space="preserve">La fracción no obtenida </w:t>
      </w:r>
      <w:r>
        <w:rPr>
          <w:b/>
        </w:rPr>
        <w:t>no es una muestra aleatoria del conjunto</w:t>
      </w:r>
      <w:r>
        <w:t xml:space="preserve"> (Tabla 3). Contiene 16 de los 24 estudios comparativos, el </w:t>
      </w:r>
      <w:r>
        <w:rPr>
          <w:b/>
        </w:rPr>
        <w:t>66,7 %</w:t>
      </w:r>
      <w:r>
        <w:t>, y declara más pacientes que la fracción obtenida. Entre esos comparativos aún no leídos figuran los cuatro ensayos aleatorizados de referencia del campo [@Jault2019_phagoburn; @Leitner2021_lancetid_pyophage; @NirPaz2025_med_tp102; @Chan2023_jcf_cyphy]; de uno de ellos, el ensayo de Yale, no existe artículo completo publicado, sino un resumen de congreso y los resultados depositados en el registro.</w:t>
      </w:r>
    </w:p>
    <w:p>
      <w: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pStyle w:val="Heading2"/>
      </w:pPr>
      <w:r>
        <w:t>3.3 Características del cuerpo de evidencia</w:t>
      </w:r>
    </w:p>
    <w:p>
      <w:r>
        <w:t xml:space="preserve">Los 125 estudios recuperables se publicaron entre </w:t>
      </w:r>
      <w:r>
        <w:rPr>
          <w:b/>
        </w:rPr>
        <w:t>2016 y 2026</w:t>
      </w:r>
      <w:r>
        <w:t xml:space="preserve">, y el </w:t>
      </w:r>
      <w:r>
        <w:rPr>
          <w:b/>
        </w:rPr>
        <w:t>83,2 %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49 reportes de caso único (39,2 %)</w:t>
      </w:r>
      <w:r>
        <w:t xml:space="preserve">, 19 series de casos, 16 ensayos aleatorizados, 13 cohortes prospectivas, 8 ensayos no aleatorizados y 4 cohortes retrospectivas. Otros 16 no declaran su diseño de forma reconocible en el resumen. Los comparativos suman </w:t>
      </w:r>
      <w:r>
        <w:rPr>
          <w:b/>
        </w:rPr>
        <w:t>24 estudios, el 19,2 %</w:t>
      </w:r>
      <w:r>
        <w:t xml:space="preserve"> del total, y son los únicos capaces de sostener una afirmación de eficacia relativa.</w:t>
      </w:r>
    </w:p>
    <w:p>
      <w:r>
        <w:t>La procedencia geográfica, cuando consta, se reparte entre Rusia (8 estudios), Georgia y Polonia (6 cada una), Alemania (4), Estados Unidos y Francia (3 cada una), y Bélgica, España e India (2 cada una). No consta en 76 estudios. La caída de la representación rusa respecto del corpus previo a la enmienda —de 34 estudios a 8— es efecto directo del criterio de idioma y no de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consta en el </w:t>
      </w:r>
      <w:r>
        <w:rPr>
          <w:b/>
        </w:rPr>
        <w:t>70,4 %</w:t>
      </w:r>
      <w:r>
        <w:t xml:space="preserve"> de los estudios.</w:t>
      </w:r>
    </w:p>
    <w:p>
      <w:pPr>
        <w:pStyle w:val="ListBullet"/>
      </w:pPr>
      <w:r>
        <w:t xml:space="preserve">La </w:t>
      </w:r>
      <w:r>
        <w:rPr>
          <w:b/>
        </w:rPr>
        <w:t>vía de administración</w:t>
      </w:r>
      <w:r>
        <w:t xml:space="preserve"> no consta en el </w:t>
      </w:r>
      <w:r>
        <w:rPr>
          <w:b/>
        </w:rPr>
        <w:t>56,8 %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52,8 %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98,4 %</w:t>
      </w:r>
      <w:r>
        <w:t>.</w:t>
      </w:r>
    </w:p>
    <w:p>
      <w: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pStyle w:val="Heading2"/>
      </w:pPr>
      <w:r>
        <w:t>3.5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r>
        <w:rPr>
          <w:b/>
        </w:rPr>
        <w:t>Desenlace.</w:t>
      </w:r>
      <w:r>
        <w:t xml:space="preserve"> «Éxito clínico» abarca en esta literatura desde la resolución de una fístula a dos años hasta la ausencia de fiebre a los tres días. Sin una definición común, la proporción agrupada suma numeradores que no cuentan lo mismo.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sesgo de recuperación documentado en la sección 3.2, que en el estado actual excluiría de la síntesis a dos tercios de los estudios comparativos. </w:t>
      </w:r>
      <w:r>
        <w:rPr>
          <w:b/>
        </w:rPr>
        <w:t>Por estas razones no se presenta ninguna proporción agrupada de eficacia</w:t>
      </w:r>
      <w:r>
        <w:t>, y se sostiene que las publicadas en revisiones previas descansan sobre supuestos que estos datos no verifican.</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nueve fuentes, sin restricción de idioma, con literatura regional y registros de ensayos incluidos. El resultado son 185 estudios frente a las decenas que manejan las revisiones publicadas, y habrían sido 219 sin la restricción de idioma que se adoptó al final. Ese aumento no habla bien de la madurez del campo. La mayor parte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Casi cuatro de cada diez estudios recuperables son un caso único. Menos de uno de cada cinco es comparativo. Siete de cada diez no declaran la categoría de resistencia con la que se pretende estratificar. Y casi uno de cada tres estudios identificados existe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@Krakhotkin2025_currurol].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60 de 185 estudios sean fichas de registro sin publicación localizable es un problema de sesgo de publicación de primer orden, y no se resuelve con métodos estadísticos.</w:t>
      </w:r>
    </w:p>
    <w:p>
      <w:pPr>
        <w:pStyle w:val="Heading2"/>
      </w:pPr>
      <w:r>
        <w:t>4.4 Fortalezas y limitaciones</w:t>
      </w:r>
    </w:p>
    <w:p>
      <w:r>
        <w:rPr>
          <w:b/>
        </w:rPr>
        <w:t>Fortalezas.</w:t>
      </w:r>
      <w:r>
        <w:t xml:space="preserve"> La búsqueda abarcó nueve fuentes en dos corrientes separadas,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r>
        <w:rPr>
          <w:b/>
        </w:rPr>
        <w:t>Limitaciones.</w:t>
      </w:r>
      <w:r>
        <w:t xml:space="preserve"> Son cinco y todas materiales. </w:t>
      </w:r>
      <w:r>
        <w:rPr>
          <w:b/>
        </w:rPr>
        <w:t>Primera:</w:t>
      </w:r>
      <w:r>
        <w:t xml:space="preserve"> la revisión no está registrada prospectivamente. </w:t>
      </w:r>
      <w:r>
        <w:rPr>
          <w:b/>
        </w:rPr>
        <w:t>Segunda:</w:t>
      </w:r>
      <w:r>
        <w:t xml:space="preserve"> la extracción por duplicado no ha concluido, de modo que este informe no presenta desenlaces, ni riesgo de sesgo, ni certeza GRADE. Es una caracterización del cuerpo de evidencia, no una síntesis de sus resultados. </w:t>
      </w:r>
      <w:r>
        <w:rPr>
          <w:b/>
        </w:rPr>
        <w:t>Tercera:</w:t>
      </w:r>
      <w:r>
        <w:t xml:space="preserve"> el texto completo se obtuvo para el 50,4 % de los estudios recuperables, y la fracción faltante está enriquecida en diseños comparativos, de manera que lo descrito aquí subrepresenta la parte comparativa del campo. </w:t>
      </w:r>
      <w:r>
        <w:rPr>
          <w:b/>
        </w:rPr>
        <w:t>Cuarta:</w:t>
      </w:r>
      <w:r>
        <w:t xml:space="preserve"> el cribado lo realizó un solo revisor asistido por reglas explícitas, con auditoría de controles positivos pero sin duplicación independiente. La duplicación está prevista para la fase de extracción. </w:t>
      </w:r>
      <w:r>
        <w:rPr>
          <w:b/>
        </w:rPr>
        <w:t>Quinta:</w:t>
      </w:r>
      <w:r>
        <w:t xml:space="preserve"> la restricción a inglés y español se adoptó cuando el cribado ya había terminado, y eliminó 34 estudios, 17 de ellos comparativos y uno perteneciente al conjunto de control positivo. Empuja el corpus en la misma dirección que el sesgo de recuperación y reduce lo que esta revisión puede decir sobre la literatura de Europa del Este, que es donde se concentran los diseños con comparador.</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Conflictos de interés.</w:t>
      </w:r>
      <w:r>
        <w:t xml:space="preserve"> Los autores declaran no tener conflictos de interés.</w:t>
      </w:r>
    </w:p>
    <w:p>
      <w:r>
        <w:rPr>
          <w:b/>
        </w:rPr>
        <w:t>Contribución de los autores.</w:t>
      </w:r>
      <w:r>
        <w:t xml:space="preserve"> [Pendiente de completar conforme a CRediT antes del envío.]</w:t>
      </w:r>
    </w:p>
    <w:p>
      <w:r>
        <w:rPr>
          <w:b/>
        </w:rPr>
        <w:t>Disponibilidad de datos y código.</w:t>
      </w:r>
      <w:r>
        <w:t xml:space="preserve"> El corpus de cribado, los registros de decisión completos, el formulario de extracción y todo el código del canal están disponibles en el repositorio del proyecto. Los registros de decisión son solo-anexar y conservan cada corrección.</w:t>
      </w:r>
    </w:p>
    <w:p>
      <w:r>
        <w:rPr>
          <w:b/>
        </w:rPr>
        <w:t>Uso de inteligencia artificial.</w:t>
      </w:r>
      <w:r>
        <w:t xml:space="preserve"> En la preparación de este trabajo se emplearon herramientas de inteligencia artificial generativa (Claude, Anthropic) para la asistencia en la programación del canal de cribado, la pre-extracción desde resúmenes y la redacción de borradores. Los autores revisaron y verificaron todo el contenido y asumen la responsabilidad íntegra por su exactitud e integridad. Ninguna herramienta de IA figura como autora, conforme a las recomendaciones del ICMJE.</w:t>
      </w:r>
    </w:p>
    <w:p>
      <w:r>
        <w:rPr>
          <w:b/>
        </w:rPr>
        <w:t>Agradecimientos.</w:t>
      </w:r>
      <w:r>
        <w:t xml:space="preserve"> [Pendiente.]</w:t>
      </w:r>
    </w:p>
    <w:p>
      <w:pPr>
        <w:pStyle w:val="Heading1"/>
      </w:pPr>
      <w:r>
        <w:t>Tablas y figuras</w:t>
      </w:r>
    </w:p>
    <w:p>
      <w:r>
        <w:t>Las cuatro tablas se aportan como archivos independientes (`paper/tablas/`), cada una con su nota al pie. Las dos figuras se aportan en PDF vectorial (`paper/figuras/`).</w:t>
      </w:r>
    </w:p>
    <w:p>
      <w:r>
        <w:rPr>
          <w:b/>
        </w:rPr>
        <w:t>Tabla 1.</w:t>
      </w:r>
      <w:r>
        <w:t xml:space="preserve"> Características del cuerpo de evidencia recuperable (n = 159 estudios).</w:t>
      </w:r>
    </w:p>
    <w:p>
      <w:r>
        <w:rPr>
          <w:b/>
        </w:rPr>
        <w:t>Tabla 2.</w:t>
      </w:r>
      <w:r>
        <w:t xml:space="preserve"> Completitud del reporte en las variables críticas para la estratificación.</w:t>
      </w:r>
    </w:p>
    <w:p>
      <w:r>
        <w:rPr>
          <w:b/>
        </w:rPr>
        <w:t>Tabla 3.</w:t>
      </w:r>
      <w:r>
        <w:t xml:space="preserve"> Comparación entre los estudios con y sin texto completo obtenido.</w:t>
      </w:r>
    </w:p>
    <w:p>
      <w:r>
        <w:rPr>
          <w:b/>
        </w:rPr>
        <w:t>Tabla 4.</w:t>
      </w:r>
      <w:r>
        <w:t xml:space="preserve"> Motivos de exclusión por etapa, con el vocabulario cerrado.</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i/>
        </w:rPr>
        <w:t>Fuente.</w:t>
      </w:r>
      <w:r>
        <w:t xml:space="preserve"> Canal de cribado del proyecto; última ejecución de la búsqueda, 10 de agosto de 2026.</w:t>
      </w:r>
    </w:p>
    <w:p>
      <w:r>
        <w:rPr>
          <w:b/>
        </w:rPr>
        <w:t>Figura 2. Composición del cuerpo de evidencia recuperable (n = 159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159 estudios con publicación recuperable.</w:t>
      </w:r>
    </w:p>
    <w:p>
      <w:pPr>
        <w:pStyle w:val="Heading1"/>
      </w:pPr>
      <w:r>
        <w:t>Material suplementario</w:t>
      </w:r>
    </w:p>
    <w:p>
      <w:pPr>
        <w:pStyle w:val="ListBullet"/>
      </w:pPr>
      <w:r>
        <w:t>S1. Lista de comprobación PRISMA 2020.</w:t>
      </w:r>
    </w:p>
    <w:p>
      <w:pPr>
        <w:pStyle w:val="ListBullet"/>
      </w:pPr>
      <w:r>
        <w:t>S2. Ecuaciones de búsqueda literales por base, con fecha y número de resultados.</w:t>
      </w:r>
    </w:p>
    <w:p>
      <w:pPr>
        <w:pStyle w:val="ListBullet"/>
      </w:pPr>
      <w:r>
        <w:t>S3. Registro completo de decisiones de cribado (etapas 1 a 3).</w:t>
      </w:r>
    </w:p>
    <w:p>
      <w:pPr>
        <w:pStyle w:val="ListBullet"/>
      </w:pPr>
      <w:r>
        <w:t>S4. Formulario de extracción y libro de códigos.</w:t>
      </w:r>
    </w:p>
    <w:p>
      <w:pPr>
        <w:pStyle w:val="ListBullet"/>
      </w:pPr>
      <w:r>
        <w:t>S5. Listado de los 219 estudios con su situación y sus informes.</w:t>
      </w:r>
    </w:p>
    <w:p>
      <w:pPr>
        <w:pStyle w:val="ListBullet"/>
      </w:pPr>
      <w:r>
        <w:t>S6. Auditoría de controles positivos.</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