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262; texto principal 7 101.</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29 salieron del corpus</w:t>
      </w:r>
      <w:r>
        <w:t xml:space="preserve"> —protocolos, modelos preclínicos, y artículos donde </w:t>
      </w:r>
      <w:r>
        <w:rPr>
          <w:i/>
        </w:rPr>
        <w:t>P. aeruginosa</w:t>
      </w:r>
      <w:r>
        <w:t xml:space="preserve"> solo figura en el espectro del producto—: quedan </w:t>
      </w:r>
      <w:r>
        <w:rPr>
          <w:b/>
        </w:rPr>
        <w:t>155</w:t>
      </w:r>
      <w: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 y solo en aquellos cuyo texto completo se obtuvo</w:t>
      </w:r>
      <w:r>
        <w:t>: 11 de los 12 que el diseño adjudicado sobre el artículo identifica como comparativos. Los ensayos aleatorizados con RoB 2 [@Sterne2019_rob2] y los no aleatorizados y las cohortes con ROBINS-I [@Sterne2016_robinsi]. El estudio restante es un ensayo aleatorizado sin texto completo: no se evalúa, y tampoco recibe un juicio desfavorable por esa razón.</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Los juicios se emiten por consenso entre los dos autores, no por duplicado independiente.</w:t>
      </w:r>
      <w:r>
        <w:t xml:space="preserve"> A diferencia de la extracción de datos (sección 2.6), esta evaluación no admite una medida de concordancia entre revisores, y no se reporta ninguna. La limitación consta en la sección 4.4.</w:t>
      </w:r>
    </w:p>
    <w:p>
      <w:r>
        <w:rPr>
          <w:b/>
        </w:rPr>
        <w:t>GRADE no se aplica</w:t>
      </w:r>
      <w: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[@Guyatt2011_grade].</w:t>
      </w:r>
    </w:p>
    <w:p>
      <w:r>
        <w:t>La sección 3.7 reporta los 82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Dos enmiendas al protocolo</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los estudios cuyo texto completo no se consiguió salen del corpus.</w:t>
      </w:r>
      <w:r>
        <w:t xml:space="preserve"> Adoptada el 2 de septiembre de 2026, también con el cribado concluido.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no pudo leer</w:t>
      </w:r>
      <w:r>
        <w:t>, que es una propiedad del proceso y no del estudio.</w:t>
      </w:r>
    </w:p>
    <w:p>
      <w:r>
        <w:t xml:space="preserve">Su efecto medido: excluye </w:t>
      </w:r>
      <w:r>
        <w:rPr>
          <w:b/>
        </w:rPr>
        <w:t>1 estudio</w:t>
      </w:r>
      <w: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b/>
        </w:rPr>
        <w:t>aplicado a los 24 estudios que siguen sin texto completo, el corpus pasaría de 155 a 131 estudios, los comparativos de 11 a 5 y los ensayos aleatorizados de 7 a 3</w:t>
      </w:r>
      <w:r>
        <w:t xml:space="preserve">, y la tasa de recuperación de texto completo pasaría a ser del 100 % </w:t>
      </w:r>
      <w:r>
        <w:rPr>
          <w:b/>
        </w:rPr>
        <w:t>por construcción</w:t>
      </w:r>
      <w: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29 de ellos salieron del corpus</w:t>
      </w:r>
      <w:r>
        <w:t xml:space="preserve">, y se excluyeron; el apartado siguiente los detalla. El cuerpo de evidencia queda en </w:t>
      </w:r>
      <w:r>
        <w:rPr>
          <w:b/>
        </w:rPr>
        <w:t>155 estudios</w:t>
      </w:r>
      <w:r>
        <w:t>, que agrupan 190 informes: 132 con un solo informe y 23 con varios, hasta un máximo de once informes de un mismo ensayo.</w:t>
      </w:r>
    </w:p>
    <w:p>
      <w:pPr>
        <w:pStyle w:val="Heading2"/>
      </w:pPr>
      <w:r>
        <w:t>3.1.1 Veintinueve estudios que el cribado admitió y que salieron después</w:t>
      </w:r>
    </w:p>
    <w:p>
      <w:r>
        <w:t xml:space="preserve">Los 29 se excluyeron por ocho motivos, y ninguno es una discrepancia de criterio: son estudios que no cumplen lo que la sección 2.2 ya exigía. </w:t>
      </w:r>
      <w:r>
        <w:rPr>
          <w:b/>
        </w:rPr>
        <w:t>Veinticuatro</w:t>
      </w:r>
      <w:r>
        <w:t xml:space="preserve"> salieron de leer su artículo. </w:t>
      </w:r>
      <w:r>
        <w:rPr>
          <w:b/>
        </w:rPr>
        <w:t>Once</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w:t>
      </w:r>
    </w:p>
    <w:p>
      <w:r>
        <w:t xml:space="preserve">Los </w:t>
      </w:r>
      <w:r>
        <w:rPr>
          <w:b/>
        </w:rPr>
        <w:t>cuatro restantes</w:t>
      </w:r>
      <w:r>
        <w:t xml:space="preserve"> salieron por </w:t>
      </w:r>
      <w:r>
        <w:rPr>
          <w:b/>
        </w:rPr>
        <w:t>idioma</w:t>
      </w:r>
      <w: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son </w:t>
      </w:r>
      <w:r>
        <w:rPr>
          <w:b/>
        </w:rPr>
        <w:t>29 de los 95 estudios extraíbles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155 estudios, </w:t>
      </w:r>
      <w:r>
        <w:rPr>
          <w:b/>
        </w:rPr>
        <w:t>95 tienen publicación recuperable</w:t>
      </w:r>
      <w:r>
        <w:t xml:space="preserve">: 92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95 estudios recuperables (74,7 %)</w:t>
      </w:r>
      <w:r>
        <w:t xml:space="preserve"> por vías de acceso abierto legítimas. Los 24 restantes siguen sin obtenerse. Su disponibilidad se recomprobó el 2 de septiembre de 2026 contra tres índices independientes —Europe PMC, OpenAlex y Semantic Scholar—, y </w:t>
      </w:r>
      <w:r>
        <w:rPr>
          <w:b/>
        </w:rPr>
        <w:t>ninguno de los 24 tiene hoy una copia de acceso abierto</w:t>
      </w:r>
      <w:r>
        <w:t>. No se solicitaron por préstamo interbibliotecario ni a los autores: el hueco documental que esta revisión declara no está mitigado por ninguna vía adicional, y esa es la razón por la que se reporta como límite y no como pendiente.</w:t>
      </w:r>
    </w:p>
    <w:p>
      <w:r>
        <w:t xml:space="preserve">La fracción no obtenida </w:t>
      </w:r>
      <w:r>
        <w:rPr>
          <w:b/>
        </w:rPr>
        <w:t>no es una muestra aleatoria del conjunto</w:t>
      </w:r>
      <w:r>
        <w:t xml:space="preserve"> (Tabla 3). Contiene 6 de los 11 estudios comparativos, el </w:t>
      </w:r>
      <w:r>
        <w:rPr>
          <w:b/>
        </w:rPr>
        <w:t>54,5 %</w:t>
      </w:r>
      <w:r>
        <w:t>, y, aunque declara menos pacientes en total, concentra los diseños que sostienen una comparación. De los siete ensayos aleatorizados del corpus se leyeron tres a texto completo —PhagoBurn [@Jault2019_phagoburn], BX004-A [@Weiner2025_natcomms] y un ensayo de 2026 en unidad de cuidados intensivos—, y cuatro siguen sin leerse, entre ellos el de TP-102 [@NirPaz2025_med_tp102]. La fracción que falta contiene, por tanto, la mayoría de los ensayos aleatorizados identificados.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95 estudios recuperables se publicaron entre </w:t>
      </w:r>
      <w:r>
        <w:rPr>
          <w:b/>
        </w:rPr>
        <w:t>2016 y 2026</w:t>
      </w:r>
      <w:r>
        <w:t xml:space="preserve">, y el </w:t>
      </w:r>
      <w:r>
        <w:rPr>
          <w:b/>
        </w:rPr>
        <w:t>80,0 %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42 reportes de caso único (44,2 %)</w:t>
      </w:r>
      <w:r>
        <w:t xml:space="preserve">, 18 series de casos, 13 cohortes prospectivas, 7 ensayos aleatorizados, 4 ensayos no aleatorizados y 3 cohortes retrospectivas. Otros 8 no declaran su diseño de forma reconocible en el resumen. Los comparativos suman </w:t>
      </w:r>
      <w:r>
        <w:rPr>
          <w:b/>
        </w:rPr>
        <w:t>11 estudios, el 11,6 %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75,8 %</w:t>
      </w:r>
      <w: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52,6 %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38,9 %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97,9 %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103 brazos del corpus vigente.</w:t>
      </w:r>
    </w:p>
    <w:p>
      <w: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r>
        <w:t xml:space="preserve">Ese 68,9 % es, sin embargo, engañoso si se lee como disponibilidad para agregar. </w:t>
      </w:r>
      <w:r>
        <w:rPr>
          <w:b/>
        </w:rPr>
        <w:t>En 69 de los 103 brazos (67,0 %)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19 de los 103 brazos no puede clasificarse —12 en que los dos revisores acordaron «NA» y 7 que siguen abiertos—, de modo que los recuentos por diseño son suelos sobre los 84 restantes. De esos 84, </w:t>
      </w:r>
      <w:r>
        <w:rPr>
          <w:b/>
        </w:rPr>
        <w:t>7 brazos son ensayos</w:t>
      </w:r>
      <w:r>
        <w:t xml:space="preserve"> (aleatorizados o no) y </w:t>
      </w:r>
      <w:r>
        <w:rPr>
          <w:b/>
        </w:rPr>
        <w:t>9 son cohortes</w:t>
      </w:r>
      <w:r>
        <w:t>. La sección 3.3 y la tabla 1 llaman «comparativos» solo a los ensayos, y por eso allí la cifra es 11 estudios: cuando en esta sección se dice «comparativo» se incluyen también las cohortes, y son 16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103</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103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r>
        <w:rPr>
          <w:b/>
        </w:rPr>
        <w:t>Tabla 7.</w:t>
      </w:r>
      <w: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155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seis y todas materiales. </w:t>
      </w:r>
      <w:r>
        <w:rPr>
          <w:b/>
        </w:rPr>
        <w:t>Primera:</w:t>
      </w:r>
      <w: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b/>
        </w:rPr>
        <w:t>Segunda:</w:t>
      </w:r>
      <w:r>
        <w:t xml:space="preserve"> la búsqueda no interrogó Embase ni el ICTRP de la OMS, lo que reduce la cobertura de series de casos y resúmenes de congreso y deja la corriente de registros limitada a Estados Unidos y la Unión Europea. </w:t>
      </w:r>
      <w:r>
        <w:rPr>
          <w:b/>
        </w:rPr>
        <w:t>Tercera:</w:t>
      </w:r>
      <w:r>
        <w:t xml:space="preserve"> se limitó a publicaciones de 2016 a 2026, de modo que describe la producción reciente y no el campo entero. </w:t>
      </w:r>
      <w:r>
        <w:rPr>
          <w:b/>
        </w:rPr>
        <w:t>Cuarta: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b/>
        </w:rPr>
        <w:t>Quinta:</w:t>
      </w:r>
      <w:r>
        <w:t xml:space="preserve"> el texto completo se obtuvo para el 74,7 % de los estudios recuperables, y la fracción faltante está enriquecida en diseños comparativos, de manera que lo descrito subrepresenta la parte comparativa del campo. </w:t>
      </w:r>
      <w:r>
        <w:rPr>
          <w:b/>
        </w:rPr>
        <w:t>Sexta: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95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103 brazos).</w:t>
      </w:r>
    </w:p>
    <w:p>
      <w:r>
        <w:rPr>
          <w:b/>
        </w:rPr>
        <w:t>Tabla 6.</w:t>
      </w:r>
      <w:r>
        <w:t xml:space="preserve"> Brazos que sobreviven a cada requisito de una proporción agrupada de éxito clínico (n = 103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95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95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155 estudios con su situación y sus informes agrupados, y de los 29 excluidos tras el cribado,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