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6 693.</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184 studies and, on reading the full texts, </w:t>
      </w:r>
      <w:r>
        <w:rPr>
          <w:b/>
        </w:rPr>
        <w:t>29 left the corpus</w:t>
      </w:r>
      <w:r>
        <w:t xml:space="preserve"> —protocols, preclinical models, and articles where </w:t>
      </w:r>
      <w:r>
        <w:rPr>
          <w:i/>
        </w:rPr>
        <w:t>P. aeruginosa</w:t>
      </w:r>
      <w:r>
        <w:t xml:space="preserve"> appears only in the product's declared spectrum—, leaving </w:t>
      </w:r>
      <w:r>
        <w:rPr>
          <w:b/>
        </w:rPr>
        <w:t>155</w:t>
      </w:r>
      <w:r>
        <w:t xml:space="preserve">, 95 with a retrievable publication. Single case reports, 44.2 %; comparative, 11.6 %; resistance class unassignable, 75.8 %. Full text was obtained for 71 (74.7 %), and what is missing concentrates 54.5 % of the comparative designs; the language criterion removed 35 studies more. In 69 of the 103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when:539 of 541 are adjudicated. The remaining 2 had been closed earlier by a mechanical rule applied to a comparison that was subsequently redone, so they carry no joint signature and are not counted as consensus. The 14 that remained open —10 on study design, where the form offered no option the reviewers needed, and 4 for data requiring the article to be re-read— were signed by consensus on 14 September 2026. The complete record, resolution by resolution, is supplied as supplementary material.</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11 of the 14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w:t>
      </w:r>
      <w:r>
        <w:t xml:space="preserve"> Unlike data extraction (section 2.6), this assessment admits no measure of inter-reviewer agreement, and none is reported. The limitation is stated in section 4.4.</w:t>
      </w:r>
    </w:p>
    <w:p>
      <w:r>
        <w:rPr>
          <w:b/>
        </w:rPr>
        <w:t>GRADE is not applied</w:t>
      </w:r>
      <w:r>
        <w:t>, and the reason does not depend on the above: it rates the certainty of a pooled estimate and this review presents none. Section 3.5 shows that only 2 of the 103 arms meet the minimum requirements for pooling, and none survives the eligibility criteria. Rating the certainty of a result that does not exist would be a formality, not an assessment [@Guyatt2011_grade].</w:t>
      </w:r>
    </w:p>
    <w:p>
      <w:r>
        <w:t>Section 3.7 reports the 82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155 to 131 studies, comparative designs from 11 to 5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74.7 % figure coexists with an exclusion that, generalised, would empty it of meaning.</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29 of them left the corpus</w:t>
      </w:r>
      <w:r>
        <w:t xml:space="preserve"> and were excluded; the next subsection details them. The evidence base stands at </w:t>
      </w:r>
      <w:r>
        <w:rPr>
          <w:b/>
        </w:rPr>
        <w:t>158 studies</w:t>
      </w:r>
      <w:r>
        <w:t>, grouping 197 reports: 134 with a single report and 24 with several, up to a maximum of eleven reports of one trial.</w:t>
      </w:r>
    </w:p>
    <w:p>
      <w:pPr>
        <w:pStyle w:val="Heading2"/>
      </w:pPr>
      <w:r>
        <w:t>3.1.1 Twenty-nine studies the screening admitted and that later left</w:t>
      </w:r>
    </w:p>
    <w:p>
      <w:r>
        <w:t xml:space="preserve">The 29 were excluded for eight reasons, and none is a difference of judgement: they are studies that fail what section 2.2 already required. </w:t>
      </w:r>
      <w:r>
        <w:rPr>
          <w:b/>
        </w:rPr>
        <w:t>Twenty-four</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95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t xml:space="preserve">Of the 155 studies, </w:t>
      </w:r>
      <w:r>
        <w:rPr>
          <w:b/>
        </w:rPr>
        <w:t>95 have a retrievable publication</w:t>
      </w:r>
      <w:r>
        <w:t xml:space="preserve">: 92 articles and 3 that exist only as conference abstracts. The remaining </w:t>
      </w:r>
      <w:r>
        <w:rPr>
          <w:b/>
        </w:rPr>
        <w:t>60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95 retrievable studies (74.7 %)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11 comparative studies, </w:t>
      </w:r>
      <w:r>
        <w:rPr>
          <w:b/>
        </w:rPr>
        <w:t>54.5 %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(44.2 %)</w:t>
      </w:r>
      <w:r>
        <w:t xml:space="preserve">, 18 case series, 13 prospective cohorts, 7 randomised trials, 4 non-randomised trials and 3 retrospective cohorts. A further 8 do not state a recognisable design in the abstract. Comparative designs total </w:t>
      </w:r>
      <w:r>
        <w:rPr>
          <w:b/>
        </w:rPr>
        <w:t>11 studies, 11.6 %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75.8 %</w:t>
      </w:r>
      <w:r>
        <w:t xml:space="preserve"> of studies: 62.1 % do not mention it at all and a further 13.7 %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52.6 %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38.9 %</w:t>
      </w:r>
      <w:r>
        <w:t>.</w:t>
      </w:r>
    </w:p>
    <w:p>
      <w:pPr>
        <w:pStyle w:val="ListBullet"/>
      </w:pPr>
      <w:r>
        <w:t xml:space="preserve">Fulfilment of the </w:t>
      </w:r>
      <w:r>
        <w:rPr>
          <w:b/>
        </w:rPr>
        <w:t>DTR</w:t>
      </w:r>
      <w:r>
        <w:t xml:space="preserve"> criterion (difficult-to-treat resistance) is not stated in </w:t>
      </w:r>
      <w:r>
        <w:rPr>
          <w:b/>
        </w:rPr>
        <w:t>97.9 %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(78.6 % of arms) and emergence of phage resistance the least (27.2 %), despite being the outcome that determines whether the intervention retains its usefulness. Those percentages are computed over all 103 arms and therefore include 24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68.9 % of arms. Two arms report a numerator larger than their denominator — thirteen clinical successes in one patient, and five adverse events in four — and are flagged as reporting errors, not read as proportions.</w:t>
      </w:r>
    </w:p>
    <w:p>
      <w:r>
        <w:t xml:space="preserve">That 68.0 % is misleading, however, if read as availability for pooling. </w:t>
      </w:r>
      <w:r>
        <w:rPr>
          <w:b/>
        </w:rPr>
        <w:t>In 69 of the 103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12 of the 103 arms it cannot be classified — 13 where both reviewers agreed on "NA" and 8 still open — so the design counts are floors over the remaining 82. Of those 91, </w:t>
      </w:r>
      <w:r>
        <w:rPr>
          <w:b/>
        </w:rPr>
        <w:t>8 arms are trials</w:t>
      </w:r>
      <w:r>
        <w:t xml:space="preserve"> (randomised or not) and </w:t>
      </w:r>
      <w:r>
        <w:rPr>
          <w:b/>
        </w:rPr>
        <w:t>10 are cohorts</w:t>
      </w:r>
      <w:r>
        <w:t>. Section 3.3 and Table 1 call only the trials comparative, which is why the figure there is 23 studies; when this section says comparative it also includes the cohorts, and there are 18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103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103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3 studies assessed with RoB 2, the overall judgement is low risk in 2 and some concerns in 1. Of the 8 studies assessed with ROBINS-I, the overall judgement is moderate risk in 2 and serious risk in 6. The domain concentrating most unfavourable judgements —high risk under RoB 2; serious or critical under ROBINS-I— in ROBINS-I is “bias due to confounding”, in 6 of 8. The 82 judgements were issued in a single assessment agreed between the two authors; with no two independent readings, no inter-reviewer agreement is reported.</w:t>
      </w:r>
    </w:p>
    <w:p>
      <w:r>
        <w:rPr>
          <w:b/>
        </w:rPr>
        <w:t>Table 7.</w:t>
      </w:r>
      <w:r>
        <w:t xml:space="preserve"> Domain-level risk of bias for the 11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155 studies against the dozens handled by published reviews, and would have been 219 without the language restriction adopted at the end and without the 29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155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eight sources across two separate streams —Scopus in two arms—,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and admits no measure of inter-reviewer agreement. </w:t>
      </w:r>
      <w:r>
        <w:rPr>
          <w:b/>
        </w:rPr>
        <w:t>Fifth</w:t>
      </w:r>
      <w:r>
        <w:t xml:space="preserve">, full text was obtained for 74.7 %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eight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95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103 arms).</w:t>
      </w:r>
    </w:p>
    <w:p>
      <w:r>
        <w:rPr>
          <w:b/>
        </w:rPr>
        <w:t>Table 6.</w:t>
      </w:r>
      <w:r>
        <w:t xml:space="preserve"> Arms surviving each requirement for a pooled proportion of clinical success (n = 103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