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8"/>
        </w:rPr>
        <w:t xml:space="preserve">Fagoterapia en infecciones por </w:t>
      </w:r>
      <w:r>
        <w:rPr>
          <w:rFonts w:ascii="Times New Roman" w:hAnsi="Times New Roman"/>
          <w:b/>
          <w:i/>
          <w:sz w:val="28"/>
        </w:rPr>
        <w:t>Pseudomonas aeruginosa</w:t>
      </w:r>
      <w:r>
        <w:rPr>
          <w:rFonts w:ascii="Times New Roman" w:hAnsi="Times New Roman"/>
          <w:b/>
          <w:i w:val="0"/>
          <w:sz w:val="28"/>
        </w:rPr>
        <w:t xml:space="preserve"> multirresistente: revisión sistemática de la literatura clínica y la completitud de su reporte</w:t>
      </w:r>
    </w:p>
    <w:p>
      <w:pPr>
        <w:jc w:val="both"/>
      </w:pPr>
      <w:r>
        <w:rPr>
          <w:rFonts w:ascii="Times New Roman" w:hAnsi="Times New Roman"/>
          <w:b w:val="0"/>
          <w:i/>
          <w:sz w:val="22"/>
        </w:rPr>
        <w:t>Danny Valdiviezo</w:t>
      </w:r>
      <w:r>
        <w:rPr>
          <w:rFonts w:ascii="Times New Roman" w:hAnsi="Times New Roman"/>
          <w:b w:val="0"/>
          <w:i w:val="0"/>
          <w:sz w:val="22"/>
        </w:rPr>
        <w:t xml:space="preserve">^1^, </w:t>
      </w:r>
      <w:r>
        <w:rPr>
          <w:rFonts w:ascii="Times New Roman" w:hAnsi="Times New Roman"/>
          <w:b w:val="0"/>
          <w:i/>
          <w:sz w:val="22"/>
        </w:rPr>
        <w:t>Nataly Trelles</w:t>
      </w:r>
      <w:r>
        <w:rPr>
          <w:rFonts w:ascii="Times New Roman" w:hAnsi="Times New Roman"/>
          <w:b w:val="0"/>
          <w:i w:val="0"/>
          <w:sz w:val="22"/>
        </w:rPr>
        <w:t>^1^</w:t>
      </w:r>
    </w:p>
    <w:p>
      <w:pPr>
        <w:jc w:val="both"/>
      </w:pPr>
      <w:r>
        <w:rPr>
          <w:rFonts w:ascii="Times New Roman" w:hAnsi="Times New Roman"/>
          <w:b w:val="0"/>
          <w:i w:val="0"/>
          <w:sz w:val="22"/>
        </w:rPr>
        <w:t>^1^ Facultad de Medicina, Universidad Católica de Cuenca, Cuenca, Ecuador.</w:t>
      </w:r>
    </w:p>
    <w:p>
      <w:pPr>
        <w:jc w:val="both"/>
      </w:pPr>
      <w:r>
        <w:rPr>
          <w:rFonts w:ascii="Times New Roman" w:hAnsi="Times New Roman"/>
          <w:b w:val="0"/>
          <w:i/>
          <w:sz w:val="22"/>
        </w:rPr>
        <w:t>Autor de correspondencia:</w:t>
      </w:r>
      <w:r>
        <w:rPr>
          <w:rFonts w:ascii="Times New Roman" w:hAnsi="Times New Roman"/>
          <w:b w:val="0"/>
          <w:i w:val="0"/>
          <w:sz w:val="22"/>
        </w:rPr>
        <w:t xml:space="preserve"> Danny Valdiviezo. Universidad Católica de Cuenca, Av. de las Américas y Humboldt, Cuenca, Ecuador. Correo: dvchiqui@gmail.com</w:t>
      </w:r>
    </w:p>
    <w:p>
      <w:pPr>
        <w:jc w:val="both"/>
      </w:pPr>
      <w:r>
        <w:rPr>
          <w:rFonts w:ascii="Times New Roman" w:hAnsi="Times New Roman"/>
          <w:b w:val="0"/>
          <w:i/>
          <w:sz w:val="22"/>
        </w:rPr>
        <w:t>Recuento de palabras:</w:t>
      </w:r>
      <w:r>
        <w:rPr>
          <w:rFonts w:ascii="Times New Roman" w:hAnsi="Times New Roman"/>
          <w:b w:val="0"/>
          <w:i w:val="0"/>
          <w:sz w:val="22"/>
        </w:rPr>
        <w:t xml:space="preserve"> resumen 295; texto principal 10 556.</w:t>
      </w:r>
    </w:p>
    <w:p>
      <w:pPr>
        <w:jc w:val="both"/>
      </w:pPr>
      <w:r>
        <w:rPr>
          <w:rFonts w:ascii="Times New Roman" w:hAnsi="Times New Roman"/>
          <w:b w:val="0"/>
          <w:i/>
          <w:sz w:val="22"/>
        </w:rPr>
        <w:t>Tablas:</w:t>
      </w:r>
      <w:r>
        <w:rPr>
          <w:rFonts w:ascii="Times New Roman" w:hAnsi="Times New Roman"/>
          <w:b w:val="0"/>
          <w:i w:val="0"/>
          <w:sz w:val="22"/>
        </w:rPr>
        <w:t xml:space="preserve"> 7. </w:t>
      </w:r>
      <w:r>
        <w:rPr>
          <w:rFonts w:ascii="Times New Roman" w:hAnsi="Times New Roman"/>
          <w:b w:val="0"/>
          <w:i/>
          <w:sz w:val="22"/>
        </w:rPr>
        <w:t>Figuras:</w:t>
      </w:r>
      <w:r>
        <w:rPr>
          <w:rFonts w:ascii="Times New Roman" w:hAnsi="Times New Roman"/>
          <w:b w:val="0"/>
          <w:i w:val="0"/>
          <w:sz w:val="22"/>
        </w:rPr>
        <w:t xml:space="preserve"> 2. </w:t>
      </w:r>
      <w:r>
        <w:rPr>
          <w:rFonts w:ascii="Times New Roman" w:hAnsi="Times New Roman"/>
          <w:b w:val="0"/>
          <w:i/>
          <w:sz w:val="22"/>
        </w:rPr>
        <w:t>Material suplementario:</w:t>
      </w:r>
      <w:r>
        <w:rPr>
          <w:rFonts w:ascii="Times New Roman" w:hAnsi="Times New Roman"/>
          <w:b w:val="0"/>
          <w:i w:val="0"/>
          <w:sz w:val="22"/>
        </w:rPr>
        <w:t xml:space="preserve"> anexos S0–S24 y S18b, y su guía.</w:t>
      </w:r>
    </w:p>
    <w:p>
      <w:pPr>
        <w:spacing w:before="280" w:after="140"/>
      </w:pPr>
      <w:r>
        <w:rPr>
          <w:rFonts w:ascii="Times New Roman" w:hAnsi="Times New Roman"/>
          <w:b/>
          <w:i w:val="0"/>
          <w:sz w:val="24"/>
        </w:rPr>
        <w:t>Resumen</w:t>
      </w:r>
    </w:p>
    <w:p>
      <w:pPr>
        <w:jc w:val="both"/>
      </w:pPr>
      <w:r>
        <w:rPr>
          <w:rFonts w:ascii="Times New Roman" w:hAnsi="Times New Roman"/>
          <w:b w:val="0"/>
          <w:i/>
          <w:sz w:val="22"/>
        </w:rPr>
        <w:t>Antecedentes.</w:t>
      </w:r>
      <w:r>
        <w:rPr>
          <w:rFonts w:ascii="Times New Roman" w:hAnsi="Times New Roman"/>
          <w:b w:val="0"/>
          <w:i w:val="0"/>
          <w:sz w:val="22"/>
        </w:rPr>
        <w:t xml:space="preserve"> Varias síntesis recientes agregan los desenlaces de la fagoterapia en </w:t>
      </w:r>
      <w:r>
        <w:rPr>
          <w:rFonts w:ascii="Times New Roman" w:hAnsi="Times New Roman"/>
          <w:b w:val="0"/>
          <w:i/>
          <w:sz w:val="22"/>
        </w:rPr>
        <w:t>Pseudomonas aeruginosa</w:t>
      </w:r>
      <w:r>
        <w:rPr>
          <w:rFonts w:ascii="Times New Roman" w:hAnsi="Times New Roman"/>
          <w:b w:val="0"/>
          <w:i w:val="0"/>
          <w:sz w:val="22"/>
        </w:rPr>
        <w:t xml:space="preserve"> resistente en proporciones globales de éxito. Eso presupone que admite agregación, y nadie lo ha examinado.</w:t>
      </w:r>
    </w:p>
    <w:p>
      <w:pPr>
        <w:jc w:val="both"/>
      </w:pPr>
      <w:r>
        <w:rPr>
          <w:rFonts w:ascii="Times New Roman" w:hAnsi="Times New Roman"/>
          <w:b w:val="0"/>
          <w:i/>
          <w:sz w:val="22"/>
        </w:rPr>
        <w:t>Objetivos.</w:t>
      </w:r>
      <w:r>
        <w:rPr>
          <w:rFonts w:ascii="Times New Roman" w:hAnsi="Times New Roman"/>
          <w:b w:val="0"/>
          <w:i w:val="0"/>
          <w:sz w:val="22"/>
        </w:rPr>
        <w:t xml:space="preserve"> Delimitarla de forma reproducible y determinar si admite una síntesis cuantitativa de eficacia.</w:t>
      </w:r>
    </w:p>
    <w:p>
      <w:pPr>
        <w:jc w:val="both"/>
      </w:pPr>
      <w:r>
        <w:rPr>
          <w:rFonts w:ascii="Times New Roman" w:hAnsi="Times New Roman"/>
          <w:b w:val="0"/>
          <w:i/>
          <w:sz w:val="22"/>
        </w:rPr>
        <w:t>Métodos.</w:t>
      </w:r>
      <w:r>
        <w:rPr>
          <w:rFonts w:ascii="Times New Roman" w:hAnsi="Times New Roman"/>
          <w:b w:val="0"/>
          <w:i w:val="0"/>
          <w:sz w:val="22"/>
        </w:rPr>
        <w:t xml:space="preserve"> PRISMA 2020, corrientes separadas para bases y registros. Ocho fuentes —BVS y SciELO incluidas—, ventana 2016–2026 donde la admiten. Solo inglés o español, criterio incorporado como </w:t>
      </w:r>
      <w:r>
        <w:rPr>
          <w:rFonts w:ascii="Times New Roman" w:hAnsi="Times New Roman"/>
          <w:b w:val="0"/>
          <w:i/>
          <w:sz w:val="22"/>
        </w:rPr>
        <w:t>enmienda posterior al cribado</w:t>
      </w:r>
      <w:r>
        <w:rPr>
          <w:rFonts w:ascii="Times New Roman" w:hAnsi="Times New Roman"/>
          <w:b w:val="0"/>
          <w:i w:val="0"/>
          <w:sz w:val="22"/>
        </w:rP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pPr>
        <w:jc w:val="both"/>
      </w:pPr>
      <w:r>
        <w:rPr>
          <w:rFonts w:ascii="Times New Roman" w:hAnsi="Times New Roman"/>
          <w:b w:val="0"/>
          <w:i/>
          <w:sz w:val="22"/>
        </w:rPr>
        <w:t>Resultados.</w:t>
      </w:r>
      <w:r>
        <w:rPr>
          <w:rFonts w:ascii="Times New Roman" w:hAnsi="Times New Roman"/>
          <w:b w:val="0"/>
          <w:i w:val="0"/>
          <w:sz w:val="22"/>
        </w:rPr>
        <w:t xml:space="preserve"> De 23 057 registros quedaron 17 129 informes únicos; 233 informes formaron 183 estudios y </w:t>
      </w:r>
      <w:r>
        <w:rPr>
          <w:rFonts w:ascii="Times New Roman" w:hAnsi="Times New Roman"/>
          <w:b w:val="0"/>
          <w:i/>
          <w:sz w:val="22"/>
        </w:rPr>
        <w:t>118 salieron del corpus</w:t>
      </w:r>
      <w:r>
        <w:rPr>
          <w:rFonts w:ascii="Times New Roman" w:hAnsi="Times New Roman"/>
          <w:b w:val="0"/>
          <w:i w:val="0"/>
          <w:sz w:val="22"/>
        </w:rPr>
        <w:t xml:space="preserve">: 63 por no disponer del artículo completo —42 solo existían como ficha de registro— y 55 por los criterios (en 11 no pudieron verificarse) —protocolos, modelos preclínicos, y artículos donde </w:t>
      </w:r>
      <w:r>
        <w:rPr>
          <w:rFonts w:ascii="Times New Roman" w:hAnsi="Times New Roman"/>
          <w:b w:val="0"/>
          <w:i/>
          <w:sz w:val="22"/>
        </w:rPr>
        <w:t>P. aeruginosa</w:t>
      </w:r>
      <w:r>
        <w:rPr>
          <w:rFonts w:ascii="Times New Roman" w:hAnsi="Times New Roman"/>
          <w:b w:val="0"/>
          <w:i w:val="0"/>
          <w:sz w:val="22"/>
        </w:rPr>
        <w:t xml:space="preserve"> solo figura en el espectro del producto—. Quedan </w:t>
      </w:r>
      <w:r>
        <w:rPr>
          <w:rFonts w:ascii="Times New Roman" w:hAnsi="Times New Roman"/>
          <w:b w:val="0"/>
          <w:i/>
          <w:sz w:val="22"/>
        </w:rPr>
        <w:t>65</w:t>
      </w:r>
      <w:r>
        <w:rPr>
          <w:rFonts w:ascii="Times New Roman" w:hAnsi="Times New Roman"/>
          <w:b w:val="0"/>
          <w:i w:val="0"/>
          <w:sz w:val="22"/>
        </w:rP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rFonts w:ascii="Times New Roman" w:hAnsi="Times New Roman"/>
          <w:b w:val="0"/>
          <w:i/>
          <w:sz w:val="22"/>
        </w:rPr>
        <w:t>P. aeruginosa</w:t>
      </w:r>
      <w:r>
        <w:rPr>
          <w:rFonts w:ascii="Times New Roman" w:hAnsi="Times New Roman"/>
          <w:b w:val="0"/>
          <w:i w:val="0"/>
          <w:sz w:val="22"/>
        </w:rPr>
        <w:t xml:space="preserve"> y el otro mide un tiempo: </w:t>
      </w:r>
      <w:r>
        <w:rPr>
          <w:rFonts w:ascii="Times New Roman" w:hAnsi="Times New Roman"/>
          <w:b w:val="0"/>
          <w:i/>
          <w:sz w:val="22"/>
        </w:rPr>
        <w:t>no queda ninguno</w:t>
      </w:r>
      <w:r>
        <w:rPr>
          <w:rFonts w:ascii="Times New Roman" w:hAnsi="Times New Roman"/>
          <w:b w:val="0"/>
          <w:i w:val="0"/>
          <w:sz w:val="22"/>
        </w:rPr>
        <w:t>.</w:t>
      </w:r>
    </w:p>
    <w:p>
      <w:pPr>
        <w:jc w:val="both"/>
      </w:pPr>
      <w:r>
        <w:rPr>
          <w:rFonts w:ascii="Times New Roman" w:hAnsi="Times New Roman"/>
          <w:b w:val="0"/>
          <w:i/>
          <w:sz w:val="22"/>
        </w:rPr>
        <w:t>Conclusiones.</w:t>
      </w:r>
      <w:r>
        <w:rPr>
          <w:rFonts w:ascii="Times New Roman" w:hAnsi="Times New Roman"/>
          <w:b w:val="0"/>
          <w:i w:val="0"/>
          <w:sz w:val="22"/>
        </w:rPr>
        <w:t xml:space="preserve"> Este cuerpo de evidencia es amplio y estructuralmente inadecuado para una síntesis cuantitativa de eficacia: las proporciones publicadas descansan sobre supuestos que estos datos no sostienen.</w:t>
      </w:r>
    </w:p>
    <w:p>
      <w:pPr>
        <w:jc w:val="both"/>
      </w:pPr>
      <w:r>
        <w:rPr>
          <w:rFonts w:ascii="Times New Roman" w:hAnsi="Times New Roman"/>
          <w:b w:val="0"/>
          <w:i/>
          <w:sz w:val="22"/>
        </w:rPr>
        <w:t>Palabras clave:</w:t>
      </w:r>
      <w:r>
        <w:rPr>
          <w:rFonts w:ascii="Times New Roman" w:hAnsi="Times New Roman"/>
          <w:b w:val="0"/>
          <w:i w:val="0"/>
          <w:sz w:val="22"/>
        </w:rPr>
        <w:t xml:space="preserve"> bacteriófagos; fagoterapia; </w:t>
      </w:r>
      <w:r>
        <w:rPr>
          <w:rFonts w:ascii="Times New Roman" w:hAnsi="Times New Roman"/>
          <w:b w:val="0"/>
          <w:i/>
          <w:sz w:val="22"/>
        </w:rPr>
        <w:t>Pseudomonas aeruginosa</w:t>
      </w:r>
      <w:r>
        <w:rPr>
          <w:rFonts w:ascii="Times New Roman" w:hAnsi="Times New Roman"/>
          <w:b w:val="0"/>
          <w:i w:val="0"/>
          <w:sz w:val="22"/>
        </w:rPr>
        <w:t>; multirresistencia; revisión sistemática; PRISMA.</w:t>
      </w:r>
    </w:p>
    <w:p>
      <w:pPr>
        <w:spacing w:before="280" w:after="140"/>
      </w:pPr>
      <w:r>
        <w:rPr>
          <w:rFonts w:ascii="Times New Roman" w:hAnsi="Times New Roman"/>
          <w:b/>
          <w:i w:val="0"/>
          <w:sz w:val="24"/>
        </w:rPr>
        <w:t>1. Introducción</w:t>
      </w:r>
    </w:p>
    <w:p>
      <w:pPr>
        <w:jc w:val="both"/>
      </w:pPr>
      <w:r>
        <w:rPr>
          <w:rFonts w:ascii="Times New Roman" w:hAnsi="Times New Roman"/>
          <w:b w:val="0"/>
          <w:i/>
          <w:sz w:val="22"/>
        </w:rPr>
        <w:t>Pseudomonas aeruginosa</w:t>
      </w:r>
      <w:r>
        <w:rPr>
          <w:rFonts w:ascii="Times New Roman" w:hAnsi="Times New Roman"/>
          <w:b w:val="0"/>
          <w:i w:val="0"/>
          <w:sz w:val="22"/>
        </w:rP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(1) y la actualización de 2024 rebajó la forma resistente a carbapenémicos a prioridad alta (2).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pPr>
        <w:jc w:val="both"/>
      </w:pPr>
      <w:r>
        <w:rPr>
          <w:rFonts w:ascii="Times New Roman" w:hAnsi="Times New Roman"/>
          <w:b w:val="0"/>
          <w:i w:val="0"/>
          <w:sz w:val="22"/>
        </w:rPr>
        <w:t>En ese estrechamiento ha reaparecido la fagoterapia. Los bacteriófagos líticos actúan por un mecanismo ajeno a las dianas antibióticas, respetan la microbiota acompañante y admiten adaptarse al aislado del propio paciente (3). Pero la literatura clínica que los respalda no creció como crece la evidencia de un fármaco en desarrollo. Creció como una acumulación de casos de rescate publicados de uno en uno, casi siempre después de que el paciente mejorara.</w:t>
      </w:r>
    </w:p>
    <w:p>
      <w:pPr>
        <w:jc w:val="both"/>
      </w:pPr>
      <w:r>
        <w:rPr>
          <w:rFonts w:ascii="Times New Roman" w:hAnsi="Times New Roman"/>
          <w:b w:val="0"/>
          <w:i w:val="0"/>
          <w:sz w:val="22"/>
        </w:rP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(4). Y cuando el fago se administra junto con antimicrobianos activos, ningún resultado favorable permite atribuir el mérito a uno u otro (5).</w:t>
      </w:r>
    </w:p>
    <w:p>
      <w:pPr>
        <w:jc w:val="both"/>
      </w:pPr>
      <w:r>
        <w:rPr>
          <w:rFonts w:ascii="Times New Roman" w:hAnsi="Times New Roman"/>
          <w:b w:val="0"/>
          <w:i w:val="0"/>
          <w:sz w:val="22"/>
        </w:rPr>
        <w:t>Pese a ello, las síntesis publicadas han tendido a agregar esta literatura en proporciones globales de éxito clínico (6,7).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pPr>
        <w:jc w:val="both"/>
      </w:pPr>
      <w:r>
        <w:rPr>
          <w:rFonts w:ascii="Times New Roman" w:hAnsi="Times New Roman"/>
          <w:b w:val="0"/>
          <w:i w:val="0"/>
          <w:sz w:val="22"/>
        </w:rP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spacing w:before="280" w:after="140"/>
      </w:pPr>
      <w:r>
        <w:rPr>
          <w:rFonts w:ascii="Times New Roman" w:hAnsi="Times New Roman"/>
          <w:b/>
          <w:i w:val="0"/>
          <w:sz w:val="24"/>
        </w:rPr>
        <w:t>2. Métodos</w:t>
      </w:r>
    </w:p>
    <w:p>
      <w:pPr>
        <w:spacing w:before="200" w:after="100"/>
      </w:pPr>
      <w:r>
        <w:rPr>
          <w:rFonts w:ascii="Times New Roman" w:hAnsi="Times New Roman"/>
          <w:b/>
          <w:i w:val="0"/>
          <w:sz w:val="22"/>
        </w:rPr>
        <w:t>2.1 Protocolo y registro</w:t>
      </w:r>
    </w:p>
    <w:p>
      <w:pPr>
        <w:jc w:val="both"/>
      </w:pPr>
      <w:r>
        <w:rPr>
          <w:rFonts w:ascii="Times New Roman" w:hAnsi="Times New Roman"/>
          <w:b w:val="0"/>
          <w:i w:val="0"/>
          <w:sz w:val="22"/>
        </w:rPr>
        <w:t xml:space="preserve">Esta revisión se condujo conforme a la declaración PRISMA 2020 (8). La lista de comprobación completa acompaña al manuscrito como material suplementario. </w:t>
      </w:r>
      <w:r>
        <w:rPr>
          <w:rFonts w:ascii="Times New Roman" w:hAnsi="Times New Roman"/>
          <w:b w:val="0"/>
          <w:i/>
          <w:sz w:val="22"/>
        </w:rPr>
        <w:t>La revisión no se registró en PROSPERO ni en ningún otro registro prospectivo, y no se depositó un protocolo previo</w:t>
      </w:r>
      <w:r>
        <w:rPr>
          <w:rFonts w:ascii="Times New Roman" w:hAnsi="Times New Roman"/>
          <w:b w:val="0"/>
          <w:i w:val="0"/>
          <w:sz w:val="22"/>
        </w:rPr>
        <w:t>; el protocolo de trabajo y las decisiones metodológicas quedaron fechados en el repositorio versionado desde el inicio (sección 2.8).</w:t>
      </w:r>
    </w:p>
    <w:p>
      <w:pPr>
        <w:spacing w:before="200" w:after="100"/>
      </w:pPr>
      <w:r>
        <w:rPr>
          <w:rFonts w:ascii="Times New Roman" w:hAnsi="Times New Roman"/>
          <w:b/>
          <w:i w:val="0"/>
          <w:sz w:val="22"/>
        </w:rPr>
        <w:t>2.2 Criterios de elegibilidad</w:t>
      </w:r>
    </w:p>
    <w:p>
      <w:pPr>
        <w:jc w:val="both"/>
      </w:pPr>
      <w:r>
        <w:rPr>
          <w:rFonts w:ascii="Times New Roman" w:hAnsi="Times New Roman"/>
          <w:b w:val="0"/>
          <w:i/>
          <w:sz w:val="22"/>
        </w:rPr>
        <w:t>Población.</w:t>
      </w:r>
      <w:r>
        <w:rPr>
          <w:rFonts w:ascii="Times New Roman" w:hAnsi="Times New Roman"/>
          <w:b w:val="0"/>
          <w:i w:val="0"/>
          <w:sz w:val="22"/>
        </w:rPr>
        <w:t xml:space="preserve"> Pacientes humanos con infección por </w:t>
      </w:r>
      <w:r>
        <w:rPr>
          <w:rFonts w:ascii="Times New Roman" w:hAnsi="Times New Roman"/>
          <w:b w:val="0"/>
          <w:i/>
          <w:sz w:val="22"/>
        </w:rPr>
        <w:t>P. aeruginosa</w:t>
      </w:r>
      <w:r>
        <w:rPr>
          <w:rFonts w:ascii="Times New Roman" w:hAnsi="Times New Roman"/>
          <w:b w:val="0"/>
          <w:i w:val="0"/>
          <w:sz w:val="22"/>
        </w:rPr>
        <w:t xml:space="preserve"> clasificada por los autores como multirresistente (MDR), extremadamente resistente (XDR) o panresistente (PDR) según Magiorakos et al. (9), o descrita en términos que impliquen esas categorías. Se admitieron estudios con varios patógenos cuando el subgrupo de </w:t>
      </w:r>
      <w:r>
        <w:rPr>
          <w:rFonts w:ascii="Times New Roman" w:hAnsi="Times New Roman"/>
          <w:b w:val="0"/>
          <w:i/>
          <w:sz w:val="22"/>
        </w:rPr>
        <w:t>P. aeruginosa</w:t>
      </w:r>
      <w:r>
        <w:rPr>
          <w:rFonts w:ascii="Times New Roman" w:hAnsi="Times New Roman"/>
          <w:b w:val="0"/>
          <w:i w:val="0"/>
          <w:sz w:val="22"/>
        </w:rPr>
        <w:t xml:space="preserve"> fuera separable.</w:t>
      </w:r>
    </w:p>
    <w:p>
      <w:pPr>
        <w:jc w:val="both"/>
      </w:pPr>
      <w:r>
        <w:rPr>
          <w:rFonts w:ascii="Times New Roman" w:hAnsi="Times New Roman"/>
          <w:b w:val="0"/>
          <w:i/>
          <w:sz w:val="22"/>
        </w:rPr>
        <w:t>Intervención.</w:t>
      </w:r>
      <w:r>
        <w:rPr>
          <w:rFonts w:ascii="Times New Roman" w:hAnsi="Times New Roman"/>
          <w:b w:val="0"/>
          <w:i w:val="0"/>
          <w:sz w:val="22"/>
        </w:rP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pPr>
        <w:jc w:val="both"/>
      </w:pPr>
      <w:r>
        <w:rPr>
          <w:rFonts w:ascii="Times New Roman" w:hAnsi="Times New Roman"/>
          <w:b w:val="0"/>
          <w:i/>
          <w:sz w:val="22"/>
        </w:rPr>
        <w:t>Comparador.</w:t>
      </w:r>
      <w:r>
        <w:rPr>
          <w:rFonts w:ascii="Times New Roman" w:hAnsi="Times New Roman"/>
          <w:b w:val="0"/>
          <w:i w:val="0"/>
          <w:sz w:val="22"/>
        </w:rPr>
        <w:t xml:space="preserve"> Ninguno exigido, dada la naturaleza esperada de la literatura.</w:t>
      </w:r>
    </w:p>
    <w:p>
      <w:pPr>
        <w:jc w:val="both"/>
      </w:pPr>
      <w:r>
        <w:rPr>
          <w:rFonts w:ascii="Times New Roman" w:hAnsi="Times New Roman"/>
          <w:b w:val="0"/>
          <w:i/>
          <w:sz w:val="22"/>
        </w:rPr>
        <w:t>Desenlaces.</w:t>
      </w:r>
      <w:r>
        <w:rPr>
          <w:rFonts w:ascii="Times New Roman" w:hAnsi="Times New Roman"/>
          <w:b w:val="0"/>
          <w:i w:val="0"/>
          <w:sz w:val="22"/>
        </w:rPr>
        <w:t xml:space="preserve"> Éxito clínico, erradicación microbiológica, mortalidad, eventos adversos y emergencia de resistencia al fago, según la definición de cada estudio.</w:t>
      </w:r>
    </w:p>
    <w:p>
      <w:pPr>
        <w:jc w:val="both"/>
      </w:pPr>
      <w:r>
        <w:rPr>
          <w:rFonts w:ascii="Times New Roman" w:hAnsi="Times New Roman"/>
          <w:b w:val="0"/>
          <w:i/>
          <w:sz w:val="22"/>
        </w:rPr>
        <w:t>Diseños.</w:t>
      </w:r>
      <w:r>
        <w:rPr>
          <w:rFonts w:ascii="Times New Roman" w:hAnsi="Times New Roman"/>
          <w:b w:val="0"/>
          <w:i w:val="0"/>
          <w:sz w:val="22"/>
        </w:rP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pPr>
        <w:jc w:val="both"/>
      </w:pPr>
      <w:r>
        <w:rPr>
          <w:rFonts w:ascii="Times New Roman" w:hAnsi="Times New Roman"/>
          <w:b w:val="0"/>
          <w:i/>
          <w:sz w:val="22"/>
        </w:rPr>
        <w:t>Idioma.</w:t>
      </w:r>
      <w:r>
        <w:rPr>
          <w:rFonts w:ascii="Times New Roman" w:hAnsi="Times New Roman"/>
          <w:b w:val="0"/>
          <w:i w:val="0"/>
          <w:sz w:val="22"/>
        </w:rPr>
        <w:t xml:space="preserve"> Se admitieron informes redactados en inglés o en español. </w:t>
      </w:r>
      <w:r>
        <w:rPr>
          <w:rFonts w:ascii="Times New Roman" w:hAnsi="Times New Roman"/>
          <w:b w:val="0"/>
          <w:i/>
          <w:sz w:val="22"/>
        </w:rPr>
        <w:t>Este criterio no formaba parte del protocolo original y se incorporó el 11 de agosto de 2026, con el cribado ya concluido</w:t>
      </w:r>
      <w:r>
        <w:rPr>
          <w:rFonts w:ascii="Times New Roman" w:hAnsi="Times New Roman"/>
          <w:b w:val="0"/>
          <w:i w:val="0"/>
          <w:sz w:val="22"/>
        </w:rPr>
        <w:t>, de modo que la decisión se tomó conociendo el contenido del corpus. Es exactamente lo que el registro prospectivo existe para impedir, y por eso se declara como enmienda, con su impacto medido, en la sección 2.9 y en las limitaciones.</w:t>
      </w:r>
    </w:p>
    <w:p>
      <w:pPr>
        <w:jc w:val="both"/>
      </w:pPr>
      <w:r>
        <w:rPr>
          <w:rFonts w:ascii="Times New Roman" w:hAnsi="Times New Roman"/>
          <w:b w:val="0"/>
          <w:i w:val="0"/>
          <w:sz w:val="22"/>
        </w:rPr>
        <w:t xml:space="preserve">El idioma no se dedujo del nombre de la revista, que falla en ambos sentidos: </w:t>
      </w:r>
      <w:r>
        <w:rPr>
          <w:rFonts w:ascii="Times New Roman" w:hAnsi="Times New Roman"/>
          <w:b w:val="0"/>
          <w:i/>
          <w:sz w:val="22"/>
        </w:rPr>
        <w:t>Pirogov Russian Journal of Surgery</w:t>
      </w:r>
      <w:r>
        <w:rPr>
          <w:rFonts w:ascii="Times New Roman" w:hAnsi="Times New Roman"/>
          <w:b w:val="0"/>
          <w:i w:val="0"/>
          <w:sz w:val="22"/>
        </w:rP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rFonts w:ascii="Times New Roman" w:hAnsi="Times New Roman"/>
          <w:b w:val="0"/>
          <w:i/>
          <w:sz w:val="22"/>
        </w:rPr>
        <w:t>texto íntegro</w:t>
      </w:r>
      <w:r>
        <w:rPr>
          <w:rFonts w:ascii="Times New Roman" w:hAnsi="Times New Roman"/>
          <w:b w:val="0"/>
          <w:i w:val="0"/>
          <w:sz w:val="22"/>
        </w:rP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pPr>
        <w:jc w:val="both"/>
      </w:pPr>
      <w:r>
        <w:rPr>
          <w:rFonts w:ascii="Times New Roman" w:hAnsi="Times New Roman"/>
          <w:b w:val="0"/>
          <w:i/>
          <w:sz w:val="22"/>
        </w:rPr>
        <w:t>Unidad de inclusión.</w:t>
      </w:r>
      <w:r>
        <w:rPr>
          <w:rFonts w:ascii="Times New Roman" w:hAnsi="Times New Roman"/>
          <w:b w:val="0"/>
          <w:i w:val="0"/>
          <w:sz w:val="22"/>
        </w:rPr>
        <w:t xml:space="preserve"> El </w:t>
      </w:r>
      <w:r>
        <w:rPr>
          <w:rFonts w:ascii="Times New Roman" w:hAnsi="Times New Roman"/>
          <w:b w:val="0"/>
          <w:i/>
          <w:sz w:val="22"/>
        </w:rPr>
        <w:t>estudio</w:t>
      </w:r>
      <w:r>
        <w:rPr>
          <w:rFonts w:ascii="Times New Roman" w:hAnsi="Times New Roman"/>
          <w:b w:val="0"/>
          <w:i w:val="0"/>
          <w:sz w:val="22"/>
        </w:rP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spacing w:before="200" w:after="100"/>
      </w:pPr>
      <w:r>
        <w:rPr>
          <w:rFonts w:ascii="Times New Roman" w:hAnsi="Times New Roman"/>
          <w:b/>
          <w:i w:val="0"/>
          <w:sz w:val="22"/>
        </w:rPr>
        <w:t>2.3 Fuentes de información y estrategia de búsqueda</w:t>
      </w:r>
    </w:p>
    <w:p>
      <w:pPr>
        <w:jc w:val="both"/>
      </w:pPr>
      <w:r>
        <w:rPr>
          <w:rFonts w:ascii="Times New Roman" w:hAnsi="Times New Roman"/>
          <w:b w:val="0"/>
          <w:i w:val="0"/>
          <w:sz w:val="22"/>
        </w:rPr>
        <w:t xml:space="preserve">Se interrogaron </w:t>
      </w:r>
      <w:r>
        <w:rPr>
          <w:rFonts w:ascii="Times New Roman" w:hAnsi="Times New Roman"/>
          <w:b w:val="0"/>
          <w:i/>
          <w:sz w:val="22"/>
        </w:rPr>
        <w:t>ocho bases de datos y registros</w:t>
      </w:r>
      <w:r>
        <w:rPr>
          <w:rFonts w:ascii="Times New Roman" w:hAnsi="Times New Roman"/>
          <w:b w:val="0"/>
          <w:i w:val="0"/>
          <w:sz w:val="22"/>
        </w:rPr>
        <w:t xml:space="preserve"> en las dos corrientes que PRISMA 2020 exige separar. Como </w:t>
      </w:r>
      <w:r>
        <w:rPr>
          <w:rFonts w:ascii="Times New Roman" w:hAnsi="Times New Roman"/>
          <w:b w:val="0"/>
          <w:i/>
          <w:sz w:val="22"/>
        </w:rPr>
        <w:t>bases bibliográficas</w:t>
      </w:r>
      <w:r>
        <w:rPr>
          <w:rFonts w:ascii="Times New Roman" w:hAnsi="Times New Roman"/>
          <w:b w:val="0"/>
          <w:i w:val="0"/>
          <w:sz w:val="22"/>
        </w:rP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rFonts w:ascii="Times New Roman" w:hAnsi="Times New Roman"/>
          <w:b w:val="0"/>
          <w:i/>
          <w:sz w:val="22"/>
        </w:rPr>
        <w:t>registros de ensayos</w:t>
      </w:r>
      <w:r>
        <w:rPr>
          <w:rFonts w:ascii="Times New Roman" w:hAnsi="Times New Roman"/>
          <w:b w:val="0"/>
          <w:i w:val="0"/>
          <w:sz w:val="22"/>
        </w:rPr>
        <w:t>: ClinicalTrials.gov, EudraCT y CTIS. ProQuest se interrogó y devolvió 4 416 registros, pero no se exportó y no forma parte de este corpus.</w:t>
      </w:r>
    </w:p>
    <w:p>
      <w:pPr>
        <w:jc w:val="both"/>
      </w:pPr>
      <w:r>
        <w:rPr>
          <w:rFonts w:ascii="Times New Roman" w:hAnsi="Times New Roman"/>
          <w:b w:val="0"/>
          <w:i w:val="0"/>
          <w:sz w:val="22"/>
        </w:rP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rFonts w:ascii="Times New Roman" w:hAnsi="Times New Roman"/>
          <w:b w:val="0"/>
          <w:i/>
          <w:sz w:val="22"/>
        </w:rPr>
        <w:t>Embase no se interrogó</w:t>
      </w:r>
      <w:r>
        <w:rPr>
          <w:rFonts w:ascii="Times New Roman" w:hAnsi="Times New Roman"/>
          <w:b w:val="0"/>
          <w:i w:val="0"/>
          <w:sz w:val="22"/>
        </w:rP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pPr>
        <w:jc w:val="both"/>
      </w:pPr>
      <w:r>
        <w:rPr>
          <w:rFonts w:ascii="Times New Roman" w:hAnsi="Times New Roman"/>
          <w:b w:val="0"/>
          <w:i w:val="0"/>
          <w:sz w:val="22"/>
        </w:rPr>
        <w:t>Las ecuaciones de cada plataforma y sus reglas de diseño las redactó el modelo de lenguaje cuya intervención se declara en la sección 2.4 (3 de agosto de 2026). Según declara D.V. (8 de octubre de 2026),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spacing w:before="200" w:after="100"/>
      </w:pPr>
      <w:r>
        <w:rPr>
          <w:rFonts w:ascii="Times New Roman" w:hAnsi="Times New Roman"/>
          <w:b/>
          <w:i w:val="0"/>
          <w:sz w:val="22"/>
        </w:rPr>
        <w:t>2.4 Selección de los estudios</w:t>
      </w:r>
    </w:p>
    <w:p>
      <w:pPr>
        <w:jc w:val="both"/>
      </w:pPr>
      <w:r>
        <w:rPr>
          <w:rFonts w:ascii="Times New Roman" w:hAnsi="Times New Roman"/>
          <w:b w:val="0"/>
          <w:i w:val="0"/>
          <w:sz w:val="22"/>
        </w:rPr>
        <w:t xml:space="preserve">La deduplicación cruzó DOI, PMID y NCT de forma transitiva mediante </w:t>
      </w:r>
      <w:r>
        <w:rPr>
          <w:rFonts w:ascii="Times New Roman" w:hAnsi="Times New Roman"/>
          <w:b w:val="0"/>
          <w:i/>
          <w:sz w:val="22"/>
        </w:rPr>
        <w:t>union-find</w:t>
      </w:r>
      <w:r>
        <w:rPr>
          <w:rFonts w:ascii="Times New Roman" w:hAnsi="Times New Roman"/>
          <w:b w:val="0"/>
          <w:i w:val="0"/>
          <w:sz w:val="22"/>
        </w:rPr>
        <w:t xml:space="preserve">. Los identificadores se leyeron </w:t>
      </w:r>
      <w:r>
        <w:rPr>
          <w:rFonts w:ascii="Times New Roman" w:hAnsi="Times New Roman"/>
          <w:b w:val="0"/>
          <w:i/>
          <w:sz w:val="22"/>
        </w:rPr>
        <w:t>solo</w:t>
      </w:r>
      <w:r>
        <w:rPr>
          <w:rFonts w:ascii="Times New Roman" w:hAnsi="Times New Roman"/>
          <w:b w:val="0"/>
          <w:i w:val="0"/>
          <w:sz w:val="22"/>
        </w:rP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pPr>
        <w:jc w:val="both"/>
      </w:pPr>
      <w:r>
        <w:rPr>
          <w:rFonts w:ascii="Times New Roman" w:hAnsi="Times New Roman"/>
          <w:b w:val="0"/>
          <w:i w:val="0"/>
          <w:sz w:val="22"/>
        </w:rPr>
        <w:t xml:space="preserve">La selección se hizo en tres etapas. La </w:t>
      </w:r>
      <w:r>
        <w:rPr>
          <w:rFonts w:ascii="Times New Roman" w:hAnsi="Times New Roman"/>
          <w:b w:val="0"/>
          <w:i/>
          <w:sz w:val="22"/>
        </w:rPr>
        <w:t>etapa 1</w:t>
      </w:r>
      <w:r>
        <w:rPr>
          <w:rFonts w:ascii="Times New Roman" w:hAnsi="Times New Roman"/>
          <w:b w:val="0"/>
          <w:i w:val="0"/>
          <w:sz w:val="22"/>
        </w:rPr>
        <w:t xml:space="preserve"> aplicó reglas explícitas y auditables: sin título, tipo documental sin datos primarios, ámbito animal declarado en MeSH, y fago empleado como herramienta de laboratorio. La </w:t>
      </w:r>
      <w:r>
        <w:rPr>
          <w:rFonts w:ascii="Times New Roman" w:hAnsi="Times New Roman"/>
          <w:b w:val="0"/>
          <w:i/>
          <w:sz w:val="22"/>
        </w:rPr>
        <w:t>etapa 2</w:t>
      </w:r>
      <w:r>
        <w:rPr>
          <w:rFonts w:ascii="Times New Roman" w:hAnsi="Times New Roman"/>
          <w:b w:val="0"/>
          <w:i w:val="0"/>
          <w:sz w:val="22"/>
        </w:rPr>
        <w:t xml:space="preserve"> cribó títulos y la </w:t>
      </w:r>
      <w:r>
        <w:rPr>
          <w:rFonts w:ascii="Times New Roman" w:hAnsi="Times New Roman"/>
          <w:b w:val="0"/>
          <w:i/>
          <w:sz w:val="22"/>
        </w:rPr>
        <w:t>etapa 3</w:t>
      </w:r>
      <w:r>
        <w:rPr>
          <w:rFonts w:ascii="Times New Roman" w:hAnsi="Times New Roman"/>
          <w:b w:val="0"/>
          <w:i w:val="0"/>
          <w:sz w:val="22"/>
        </w:rPr>
        <w:t xml:space="preserve">, resúmenes. Ambas acabaron usando un </w:t>
      </w:r>
      <w:r>
        <w:rPr>
          <w:rFonts w:ascii="Times New Roman" w:hAnsi="Times New Roman"/>
          <w:b w:val="0"/>
          <w:i/>
          <w:sz w:val="22"/>
        </w:rPr>
        <w:t>vocabulario cerrado de seis códigos</w:t>
      </w:r>
      <w:r>
        <w:rPr>
          <w:rFonts w:ascii="Times New Roman" w:hAnsi="Times New Roman"/>
          <w:b w:val="0"/>
          <w:i w:val="0"/>
          <w:sz w:val="22"/>
        </w:rPr>
        <w:t xml:space="preserve"> (ORG, REV, SEC, LAB, VET, OFF), pero </w:t>
      </w:r>
      <w:r>
        <w:rPr>
          <w:rFonts w:ascii="Times New Roman" w:hAnsi="Times New Roman"/>
          <w:b w:val="0"/>
          <w:i/>
          <w:sz w:val="22"/>
        </w:rPr>
        <w:t>no estaba fijado antes de empezar</w:t>
      </w:r>
      <w:r>
        <w:rPr>
          <w:rFonts w:ascii="Times New Roman" w:hAnsi="Times New Roman"/>
          <w:b w:val="0"/>
          <w:i w:val="0"/>
          <w:sz w:val="22"/>
        </w:rP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el modelo añadió, a mitad de lote, dos reglas que concretan los criterios, sin que conste una decisión de los autores: las endolisinas aisladas quedan fuera por la intervención, y los informes veterinarios, por la población. Un motivo que no encaje en uno de los seis no recibe un código improvisado sobre la marcha: el registro avanza a la etapa siguiente en lugar de excluirse.</w:t>
      </w:r>
    </w:p>
    <w:p>
      <w:pPr>
        <w:jc w:val="both"/>
      </w:pPr>
      <w:r>
        <w:rPr>
          <w:rFonts w:ascii="Times New Roman" w:hAnsi="Times New Roman"/>
          <w:b w:val="0"/>
          <w:i w:val="0"/>
          <w:sz w:val="22"/>
        </w:rPr>
        <w:t xml:space="preserve">La etapa 1 es determinista: la ejecuta un script y cada exclusión nombra la regla que disparó. Las decisiones registro a registro de las etapas 2 y 3 las emitió un modelo de lenguaje (Claude Opus 5, Anthropic) como </w:t>
      </w:r>
      <w:r>
        <w:rPr>
          <w:rFonts w:ascii="Times New Roman" w:hAnsi="Times New Roman"/>
          <w:b w:val="0"/>
          <w:i/>
          <w:sz w:val="22"/>
        </w:rPr>
        <w:t>revisor único, sin duplicación</w:t>
      </w:r>
      <w:r>
        <w:rPr>
          <w:rFonts w:ascii="Times New Roman" w:hAnsi="Times New Roman"/>
          <w:b w:val="0"/>
          <w:i w:val="0"/>
          <w:sz w:val="22"/>
        </w:rP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del cribado vigente quedó registrada con su motivo y su marca de tiempo en un registro solo-anexar que se aporta íntegro (S3), salvo 77 decisiones de resumen que el pozo heredó por PMID de la primera pasada del 4 de agosto sobre el brazo A de PubMed: en S3 llevan la fecha en que se copiaron al pozo (5 de agosto de 2026), no la de la decisión. Esa primera pasada, que el cribado del pozo sustituyó, consta en el repositorio y no en S3 (S19).</w:t>
      </w:r>
    </w:p>
    <w:p>
      <w:pPr>
        <w:jc w:val="both"/>
      </w:pPr>
      <w:r>
        <w:rPr>
          <w:rFonts w:ascii="Times New Roman" w:hAnsi="Times New Roman"/>
          <w:b w:val="0"/>
          <w:i w:val="0"/>
          <w:sz w:val="22"/>
        </w:rP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pPr>
        <w:jc w:val="both"/>
      </w:pPr>
      <w:r>
        <w:rPr>
          <w:rFonts w:ascii="Times New Roman" w:hAnsi="Times New Roman"/>
          <w:b w:val="0"/>
          <w:i w:val="0"/>
          <w:sz w:val="22"/>
        </w:rPr>
        <w:t xml:space="preserve">Conviene distinguir dos cosas que el término «extracción» confunde. La </w:t>
      </w:r>
      <w:r>
        <w:rPr>
          <w:rFonts w:ascii="Times New Roman" w:hAnsi="Times New Roman"/>
          <w:b w:val="0"/>
          <w:i/>
          <w:sz w:val="22"/>
        </w:rPr>
        <w:t>pre-extracción desde el resumen</w:t>
      </w:r>
      <w:r>
        <w:rPr>
          <w:rFonts w:ascii="Times New Roman" w:hAnsi="Times New Roman"/>
          <w:b w:val="0"/>
          <w:i w:val="0"/>
          <w:sz w:val="22"/>
        </w:rPr>
        <w:t xml:space="preserve">, que es la fuente de las cifras estructurales de este artículo (secciones 3.1 a 3.4), la emitió el mismo modelo bajo el esquema de variables fijado de antemano, y cada registro quedó marcado como parcial. La </w:t>
      </w:r>
      <w:r>
        <w:rPr>
          <w:rFonts w:ascii="Times New Roman" w:hAnsi="Times New Roman"/>
          <w:b w:val="0"/>
          <w:i/>
          <w:sz w:val="22"/>
        </w:rPr>
        <w:t>extracción desde el texto completo</w:t>
      </w:r>
      <w:r>
        <w:rPr>
          <w:rFonts w:ascii="Times New Roman" w:hAnsi="Times New Roman"/>
          <w:b w:val="0"/>
          <w:i w:val="0"/>
          <w:sz w:val="22"/>
        </w:rP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pPr>
        <w:jc w:val="both"/>
      </w:pPr>
      <w:r>
        <w:rPr>
          <w:rFonts w:ascii="Times New Roman" w:hAnsi="Times New Roman"/>
          <w:b w:val="0"/>
          <w:i w:val="0"/>
          <w:sz w:val="22"/>
        </w:rPr>
        <w:t xml:space="preserve">Los registros de decisión son </w:t>
      </w:r>
      <w:r>
        <w:rPr>
          <w:rFonts w:ascii="Times New Roman" w:hAnsi="Times New Roman"/>
          <w:b w:val="0"/>
          <w:i/>
          <w:sz w:val="22"/>
        </w:rPr>
        <w:t>solo-anexar</w:t>
      </w:r>
      <w:r>
        <w:rPr>
          <w:rFonts w:ascii="Times New Roman" w:hAnsi="Times New Roman"/>
          <w:b w:val="0"/>
          <w:i w:val="0"/>
          <w:sz w:val="22"/>
        </w:rPr>
        <w:t>. Una corrección es una fila nueva que sustituye a la anterior; ambas permanecen. Esta revisión tuvo que corregir una exclusión errónea, y esa corrección solo es auditable porque la fila original sobrevivió; está en el registro de esa primera pasada, en el repositorio, y no en S3.</w:t>
      </w:r>
    </w:p>
    <w:p>
      <w:pPr>
        <w:spacing w:before="200" w:after="100"/>
      </w:pPr>
      <w:r>
        <w:rPr>
          <w:rFonts w:ascii="Times New Roman" w:hAnsi="Times New Roman"/>
          <w:b/>
          <w:i w:val="0"/>
          <w:sz w:val="22"/>
        </w:rPr>
        <w:t>2.5 Auditoría de control positivo y validación del cribado</w:t>
      </w:r>
    </w:p>
    <w:p>
      <w:pPr>
        <w:jc w:val="both"/>
      </w:pPr>
      <w:r>
        <w:rPr>
          <w:rFonts w:ascii="Times New Roman" w:hAnsi="Times New Roman"/>
          <w:b w:val="0"/>
          <w:i w:val="0"/>
          <w:sz w:val="22"/>
        </w:rP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rFonts w:ascii="Times New Roman" w:hAnsi="Times New Roman"/>
          <w:b w:val="0"/>
          <w:i/>
          <w:sz w:val="22"/>
        </w:rPr>
        <w:t>ningún estudio de ese conjunto perdiera todos sus informes</w:t>
      </w:r>
      <w:r>
        <w:rPr>
          <w:rFonts w:ascii="Times New Roman" w:hAnsi="Times New Roman"/>
          <w:b w:val="0"/>
          <w:i w:val="0"/>
          <w:sz w:val="22"/>
        </w:rP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pPr>
        <w:jc w:val="both"/>
      </w:pPr>
      <w:r>
        <w:rPr>
          <w:rFonts w:ascii="Times New Roman" w:hAnsi="Times New Roman"/>
          <w:b w:val="0"/>
          <w:i/>
          <w:sz w:val="22"/>
        </w:rPr>
        <w:t>Validación sobre los registros excluidos.</w:t>
      </w:r>
      <w:r>
        <w:rPr>
          <w:rFonts w:ascii="Times New Roman" w:hAnsi="Times New Roman"/>
          <w:b w:val="0"/>
          <w:i w:val="0"/>
          <w:sz w:val="22"/>
        </w:rP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rFonts w:ascii="Times New Roman" w:hAnsi="Times New Roman"/>
          <w:b w:val="0"/>
          <w:i/>
          <w:sz w:val="22"/>
        </w:rPr>
        <w:t>La tasa de exclusión errónea fue del 0,0 % (0 de 350; IC 95 % exacto, 0,00 a 1,05 %)</w:t>
      </w:r>
      <w:r>
        <w:rPr>
          <w:rFonts w:ascii="Times New Roman" w:hAnsi="Times New Roman"/>
          <w:b w:val="0"/>
          <w:i w:val="0"/>
          <w:sz w:val="22"/>
        </w:rPr>
        <w:t>, lo que sobre el marco de 13 661 admite hasta 143 registros perdidos. La adjudicación se aporta como suplemento.</w:t>
      </w:r>
    </w:p>
    <w:p>
      <w:pPr>
        <w:spacing w:before="200" w:after="100"/>
      </w:pPr>
      <w:r>
        <w:rPr>
          <w:rFonts w:ascii="Times New Roman" w:hAnsi="Times New Roman"/>
          <w:b/>
          <w:i w:val="0"/>
          <w:sz w:val="22"/>
        </w:rPr>
        <w:t>2.6 Extracción de datos</w:t>
      </w:r>
    </w:p>
    <w:p>
      <w:pPr>
        <w:jc w:val="both"/>
      </w:pPr>
      <w:r>
        <w:rPr>
          <w:rFonts w:ascii="Times New Roman" w:hAnsi="Times New Roman"/>
          <w:b w:val="0"/>
          <w:i w:val="0"/>
          <w:sz w:val="22"/>
        </w:rPr>
        <w:t xml:space="preserve">El formulario de extracción tuvo 21 variables de datos, las categóricas con vocabulario controlado; no consta un piloteo documentado. La extracción se hizo </w:t>
      </w:r>
      <w:r>
        <w:rPr>
          <w:rFonts w:ascii="Times New Roman" w:hAnsi="Times New Roman"/>
          <w:b w:val="0"/>
          <w:i/>
          <w:sz w:val="22"/>
        </w:rPr>
        <w:t>por duplicado</w:t>
      </w:r>
      <w:r>
        <w:rPr>
          <w:rFonts w:ascii="Times New Roman" w:hAnsi="Times New Roman"/>
          <w:b w:val="0"/>
          <w:i w:val="0"/>
          <w:sz w:val="22"/>
        </w:rP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pPr>
        <w:jc w:val="both"/>
      </w:pPr>
      <w:r>
        <w:rPr>
          <w:rFonts w:ascii="Times New Roman" w:hAnsi="Times New Roman"/>
          <w:b w:val="0"/>
          <w:i/>
          <w:sz w:val="22"/>
        </w:rPr>
        <w:t>Relectura dirigida tras la adjudicación.</w:t>
      </w:r>
      <w:r>
        <w:rPr>
          <w:rFonts w:ascii="Times New Roman" w:hAnsi="Times New Roman"/>
          <w:b w:val="0"/>
          <w:i w:val="0"/>
          <w:sz w:val="22"/>
        </w:rP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con el valor que el modelo derivó de la conclusión firmada, el valor anterior y la cita; las que dejaban un brazo con más de un valor, y las exclusiones que la relectura puso de manifiesto, las decidieron y firmaron los dos autores el 1 y el 3 de octubre de 2026.</w:t>
      </w:r>
    </w:p>
    <w:p>
      <w:pPr>
        <w:jc w:val="both"/>
      </w:pPr>
      <w:r>
        <w:rPr>
          <w:rFonts w:ascii="Times New Roman" w:hAnsi="Times New Roman"/>
          <w:b w:val="0"/>
          <w:i w:val="0"/>
          <w:sz w:val="22"/>
        </w:rP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spacing w:before="200" w:after="100"/>
      </w:pPr>
      <w:r>
        <w:rPr>
          <w:rFonts w:ascii="Times New Roman" w:hAnsi="Times New Roman"/>
          <w:b/>
          <w:i w:val="0"/>
          <w:sz w:val="22"/>
        </w:rPr>
        <w:t>2.7 Riesgo de sesgo y certeza</w:t>
      </w:r>
    </w:p>
    <w:p>
      <w:pPr>
        <w:jc w:val="both"/>
      </w:pPr>
      <w:r>
        <w:rPr>
          <w:rFonts w:ascii="Times New Roman" w:hAnsi="Times New Roman"/>
          <w:b w:val="0"/>
          <w:i w:val="0"/>
          <w:sz w:val="22"/>
        </w:rPr>
        <w:t xml:space="preserve">El riesgo de sesgo se evalúa </w:t>
      </w:r>
      <w:r>
        <w:rPr>
          <w:rFonts w:ascii="Times New Roman" w:hAnsi="Times New Roman"/>
          <w:b w:val="0"/>
          <w:i/>
          <w:sz w:val="22"/>
        </w:rPr>
        <w:t>solo en los estudios con diseño comparativo</w:t>
      </w:r>
      <w:r>
        <w:rPr>
          <w:rFonts w:ascii="Times New Roman" w:hAnsi="Times New Roman"/>
          <w:b w:val="0"/>
          <w:i w:val="0"/>
          <w:sz w:val="22"/>
        </w:rPr>
        <w:t>: los 9 que el diseño adjudicado sobre el artículo identifica como comparativos, todos con texto completo, como el resto del corpus desde el criterio de la sección 2.9. Los ensayos aleatorizados con RoB 2 (10) y los no aleatorizados y las cohortes con ROBINS-I (11).</w:t>
      </w:r>
    </w:p>
    <w:p>
      <w:pPr>
        <w:jc w:val="both"/>
      </w:pPr>
      <w:r>
        <w:rPr>
          <w:rFonts w:ascii="Times New Roman" w:hAnsi="Times New Roman"/>
          <w:b w:val="0"/>
          <w:i w:val="0"/>
          <w:sz w:val="22"/>
        </w:rPr>
        <w:t xml:space="preserve">La evaluación se emite </w:t>
      </w:r>
      <w:r>
        <w:rPr>
          <w:rFonts w:ascii="Times New Roman" w:hAnsi="Times New Roman"/>
          <w:b w:val="0"/>
          <w:i/>
          <w:sz w:val="22"/>
        </w:rPr>
        <w:t>a nivel de dominio</w:t>
      </w:r>
      <w:r>
        <w:rPr>
          <w:rFonts w:ascii="Times New Roman" w:hAnsi="Times New Roman"/>
          <w:b w:val="0"/>
          <w:i w:val="0"/>
          <w:sz w:val="22"/>
        </w:rP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(12,13).</w:t>
      </w:r>
    </w:p>
    <w:p>
      <w:pPr>
        <w:jc w:val="both"/>
      </w:pPr>
      <w:r>
        <w:rPr>
          <w:rFonts w:ascii="Times New Roman" w:hAnsi="Times New Roman"/>
          <w:b w:val="0"/>
          <w:i/>
          <w:sz w:val="22"/>
        </w:rPr>
        <w:t>Hubo dos cuadernos, uno a nombre de cada autor, pero su independencia no está acreditada.</w:t>
      </w:r>
      <w:r>
        <w:rPr>
          <w:rFonts w:ascii="Times New Roman" w:hAnsi="Times New Roman"/>
          <w:b w:val="0"/>
          <w:i w:val="0"/>
          <w:sz w:val="22"/>
        </w:rP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pPr>
        <w:jc w:val="both"/>
      </w:pPr>
      <w:r>
        <w:rPr>
          <w:rFonts w:ascii="Times New Roman" w:hAnsi="Times New Roman"/>
          <w:b w:val="0"/>
          <w:i/>
          <w:sz w:val="22"/>
        </w:rPr>
        <w:t>GRADE no se aplica</w:t>
      </w:r>
      <w:r>
        <w:rPr>
          <w:rFonts w:ascii="Times New Roman" w:hAnsi="Times New Roman"/>
          <w:b w:val="0"/>
          <w:i w:val="0"/>
          <w:sz w:val="22"/>
        </w:rP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(14).</w:t>
      </w:r>
    </w:p>
    <w:p>
      <w:pPr>
        <w:jc w:val="both"/>
      </w:pPr>
      <w:r>
        <w:rPr>
          <w:rFonts w:ascii="Times New Roman" w:hAnsi="Times New Roman"/>
          <w:b w:val="0"/>
          <w:i w:val="0"/>
          <w:sz w:val="22"/>
        </w:rPr>
        <w:t>La sección 3.7 reporta los 68 juicios y la tabla de dominios.</w:t>
      </w:r>
    </w:p>
    <w:p>
      <w:pPr>
        <w:spacing w:before="200" w:after="100"/>
      </w:pPr>
      <w:r>
        <w:rPr>
          <w:rFonts w:ascii="Times New Roman" w:hAnsi="Times New Roman"/>
          <w:b/>
          <w:i w:val="0"/>
          <w:sz w:val="22"/>
        </w:rPr>
        <w:t>2.8 Métodos de síntesis y reproducibilidad</w:t>
      </w:r>
    </w:p>
    <w:p>
      <w:pPr>
        <w:jc w:val="both"/>
      </w:pPr>
      <w:r>
        <w:rPr>
          <w:rFonts w:ascii="Times New Roman" w:hAnsi="Times New Roman"/>
          <w:b w:val="0"/>
          <w:i w:val="0"/>
          <w:sz w:val="22"/>
        </w:rPr>
        <w:t>La viabilidad de un metaanálisis de proporciones se evaluó de forma explícita frente a los requisitos habituales de ese diseño (15,16): denominadores interpretables, desenlace comparable entre estudios e intervención suficientemente homogénea. El resultado de esa evaluación se presenta en la sección 3.6.</w:t>
      </w:r>
    </w:p>
    <w:p>
      <w:pPr>
        <w:jc w:val="both"/>
      </w:pPr>
      <w:r>
        <w:rPr>
          <w:rFonts w:ascii="Times New Roman" w:hAnsi="Times New Roman"/>
          <w:b w:val="0"/>
          <w:i w:val="0"/>
          <w:sz w:val="22"/>
        </w:rP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spacing w:before="200" w:after="100"/>
      </w:pPr>
      <w:r>
        <w:rPr>
          <w:rFonts w:ascii="Times New Roman" w:hAnsi="Times New Roman"/>
          <w:b/>
          <w:i w:val="0"/>
          <w:sz w:val="22"/>
        </w:rPr>
        <w:t>2.9 Enmiendas al protocolo</w:t>
      </w:r>
    </w:p>
    <w:p>
      <w:pPr>
        <w:jc w:val="both"/>
      </w:pPr>
      <w:r>
        <w:rPr>
          <w:rFonts w:ascii="Times New Roman" w:hAnsi="Times New Roman"/>
          <w:b w:val="0"/>
          <w:i w:val="0"/>
          <w:sz w:val="22"/>
        </w:rP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pPr>
        <w:jc w:val="both"/>
      </w:pPr>
      <w:r>
        <w:rPr>
          <w:rFonts w:ascii="Times New Roman" w:hAnsi="Times New Roman"/>
          <w:b w:val="0"/>
          <w:i w:val="0"/>
          <w:sz w:val="22"/>
        </w:rPr>
        <w:t xml:space="preserve">Su efecto se midió antes de adoptarla, y no fue menor. Excluyó </w:t>
      </w:r>
      <w:r>
        <w:rPr>
          <w:rFonts w:ascii="Times New Roman" w:hAnsi="Times New Roman"/>
          <w:b w:val="0"/>
          <w:i/>
          <w:sz w:val="22"/>
        </w:rPr>
        <w:t>35 informes</w:t>
      </w:r>
      <w:r>
        <w:rPr>
          <w:rFonts w:ascii="Times New Roman" w:hAnsi="Times New Roman"/>
          <w:b w:val="0"/>
          <w:i w:val="0"/>
          <w:sz w:val="22"/>
        </w:rPr>
        <w:t xml:space="preserve"> y con ellos </w:t>
      </w:r>
      <w:r>
        <w:rPr>
          <w:rFonts w:ascii="Times New Roman" w:hAnsi="Times New Roman"/>
          <w:b w:val="0"/>
          <w:i/>
          <w:sz w:val="22"/>
        </w:rPr>
        <w:t>35 estudios completos</w:t>
      </w:r>
      <w:r>
        <w:rPr>
          <w:rFonts w:ascii="Times New Roman" w:hAnsi="Times New Roman"/>
          <w:b w:val="0"/>
          <w:i w:val="0"/>
          <w:sz w:val="22"/>
        </w:rP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pPr>
        <w:jc w:val="both"/>
      </w:pPr>
      <w:r>
        <w:rPr>
          <w:rFonts w:ascii="Times New Roman" w:hAnsi="Times New Roman"/>
          <w:b w:val="0"/>
          <w:i w:val="0"/>
          <w:sz w:val="22"/>
        </w:rPr>
        <w:t xml:space="preserve">La auditoría de controles positivos registró además una pérdida concreta. </w:t>
      </w:r>
      <w:r>
        <w:rPr>
          <w:rFonts w:ascii="Times New Roman" w:hAnsi="Times New Roman"/>
          <w:b w:val="0"/>
          <w:i/>
          <w:sz w:val="22"/>
        </w:rPr>
        <w:t>Ronit et al. (2024)</w:t>
      </w:r>
      <w:r>
        <w:rPr>
          <w:rFonts w:ascii="Times New Roman" w:hAnsi="Times New Roman"/>
          <w:b w:val="0"/>
          <w:i w:val="0"/>
          <w:sz w:val="22"/>
        </w:rPr>
        <w:t xml:space="preserve">, un caso de fagoterapia en prótesis vascular infectada por </w:t>
      </w:r>
      <w:r>
        <w:rPr>
          <w:rFonts w:ascii="Times New Roman" w:hAnsi="Times New Roman"/>
          <w:b w:val="0"/>
          <w:i/>
          <w:sz w:val="22"/>
        </w:rPr>
        <w:t>P. aeruginosa</w:t>
      </w:r>
      <w:r>
        <w:rPr>
          <w:rFonts w:ascii="Times New Roman" w:hAnsi="Times New Roman"/>
          <w:b w:val="0"/>
          <w:i w:val="0"/>
          <w:sz w:val="22"/>
        </w:rPr>
        <w:t xml:space="preserve"> publicado en danés en </w:t>
      </w:r>
      <w:r>
        <w:rPr>
          <w:rFonts w:ascii="Times New Roman" w:hAnsi="Times New Roman"/>
          <w:b w:val="0"/>
          <w:i/>
          <w:sz w:val="22"/>
        </w:rPr>
        <w:t>Ugeskrift for Læger</w:t>
      </w:r>
      <w:r>
        <w:rPr>
          <w:rFonts w:ascii="Times New Roman" w:hAnsi="Times New Roman"/>
          <w:b w:val="0"/>
          <w:i w:val="0"/>
          <w:sz w:val="22"/>
        </w:rP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pPr>
        <w:jc w:val="both"/>
      </w:pPr>
      <w:r>
        <w:rPr>
          <w:rFonts w:ascii="Times New Roman" w:hAnsi="Times New Roman"/>
          <w:b w:val="0"/>
          <w:i w:val="0"/>
          <w:sz w:val="22"/>
        </w:rPr>
        <w:t>Las cifras de la revisión sin la enmienda se conservan íntegras en el registro de decisiones, que es solo-anexar, de modo que cualquier lector puede reconstruir el corpus previo y comprobar el efecto por sí mismo.</w:t>
      </w:r>
    </w:p>
    <w:p>
      <w:pPr>
        <w:jc w:val="both"/>
      </w:pPr>
      <w:r>
        <w:rPr>
          <w:rFonts w:ascii="Times New Roman" w:hAnsi="Times New Roman"/>
          <w:b w:val="0"/>
          <w:i/>
          <w:sz w:val="22"/>
        </w:rPr>
        <w:t>Segunda enmienda: solo entran los estudios con el artículo completo.</w:t>
      </w:r>
      <w:r>
        <w:rPr>
          <w:rFonts w:ascii="Times New Roman" w:hAnsi="Times New Roman"/>
          <w:b w:val="0"/>
          <w:i w:val="0"/>
          <w:sz w:val="22"/>
        </w:rP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rFonts w:ascii="Times New Roman" w:hAnsi="Times New Roman"/>
          <w:b w:val="0"/>
          <w:i/>
          <w:sz w:val="22"/>
        </w:rPr>
        <w:t>artículo dice</w:t>
      </w:r>
      <w:r>
        <w:rPr>
          <w:rFonts w:ascii="Times New Roman" w:hAnsi="Times New Roman"/>
          <w:b w:val="0"/>
          <w:i w:val="0"/>
          <w:sz w:val="22"/>
        </w:rPr>
        <w:t xml:space="preserve"> —no hay pacientes, no hay resultados, el patógeno está en la etiqueta del producto—, mientras que este se refiere a lo que </w:t>
      </w:r>
      <w:r>
        <w:rPr>
          <w:rFonts w:ascii="Times New Roman" w:hAnsi="Times New Roman"/>
          <w:b w:val="0"/>
          <w:i/>
          <w:sz w:val="22"/>
        </w:rPr>
        <w:t>esta revisión pudo leer</w:t>
      </w:r>
      <w:r>
        <w:rPr>
          <w:rFonts w:ascii="Times New Roman" w:hAnsi="Times New Roman"/>
          <w:b w:val="0"/>
          <w:i w:val="0"/>
          <w:sz w:val="22"/>
        </w:rPr>
        <w:t>, que es una propiedad del proceso y no del estudio.</w:t>
      </w:r>
    </w:p>
    <w:p>
      <w:pPr>
        <w:jc w:val="both"/>
      </w:pPr>
      <w:r>
        <w:rPr>
          <w:rFonts w:ascii="Times New Roman" w:hAnsi="Times New Roman"/>
          <w:b w:val="0"/>
          <w:i w:val="0"/>
          <w:sz w:val="22"/>
        </w:rPr>
        <w:t xml:space="preserve">Su efecto medido: excluye </w:t>
      </w:r>
      <w:r>
        <w:rPr>
          <w:rFonts w:ascii="Times New Roman" w:hAnsi="Times New Roman"/>
          <w:b w:val="0"/>
          <w:i/>
          <w:sz w:val="22"/>
        </w:rPr>
        <w:t>4 estudios</w:t>
      </w:r>
      <w:r>
        <w:rPr>
          <w:rFonts w:ascii="Times New Roman" w:hAnsi="Times New Roman"/>
          <w:b w:val="0"/>
          <w:i w:val="0"/>
          <w:sz w:val="22"/>
        </w:rPr>
        <w:t xml:space="preserve"> con el código NOREC y </w:t>
      </w:r>
      <w:r>
        <w:rPr>
          <w:rFonts w:ascii="Times New Roman" w:hAnsi="Times New Roman"/>
          <w:b w:val="0"/>
          <w:i/>
          <w:sz w:val="22"/>
        </w:rPr>
        <w:t>63</w:t>
      </w:r>
      <w:r>
        <w:rPr>
          <w:rFonts w:ascii="Times New Roman" w:hAnsi="Times New Roman"/>
          <w:b w:val="0"/>
          <w:i w:val="0"/>
          <w:sz w:val="22"/>
        </w:rP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rFonts w:ascii="Times New Roman" w:hAnsi="Times New Roman"/>
          <w:b w:val="0"/>
          <w:i/>
          <w:sz w:val="22"/>
        </w:rPr>
        <w:t>todo estudio sin el PDF del artículo completo con acceso</w:t>
      </w:r>
      <w:r>
        <w:rPr>
          <w:rFonts w:ascii="Times New Roman" w:hAnsi="Times New Roman"/>
          <w:b w:val="0"/>
          <w:i w:val="0"/>
          <w:sz w:val="22"/>
        </w:rPr>
        <w:t xml:space="preserve"> (código NOPDF): 21 estudios cuyo artículo no se obtuvo —3 de ellos solo existen como resumen de congreso— y 42 que solo existen como ficha de registro de ensayo. El corpus pasó de 128 a 65 estudios.</w:t>
      </w:r>
    </w:p>
    <w:p>
      <w:pPr>
        <w:jc w:val="both"/>
      </w:pPr>
      <w:r>
        <w:rPr>
          <w:rFonts w:ascii="Times New Roman" w:hAnsi="Times New Roman"/>
          <w:b w:val="0"/>
          <w:i w:val="0"/>
          <w:sz w:val="22"/>
        </w:rPr>
        <w:t xml:space="preserve">Hasta esa fecha esta misma sección desaconsejaba generalizar NOREC, y el motivo sigue en pie: con el criterio ampliado, la recuperación de texto completo del corpus es del 100 % </w:t>
      </w:r>
      <w:r>
        <w:rPr>
          <w:rFonts w:ascii="Times New Roman" w:hAnsi="Times New Roman"/>
          <w:b w:val="0"/>
          <w:i/>
          <w:sz w:val="22"/>
        </w:rPr>
        <w:t>por construcción</w:t>
      </w:r>
      <w:r>
        <w:rPr>
          <w:rFonts w:ascii="Times New Roman" w:hAnsi="Times New Roman"/>
          <w:b w:val="0"/>
          <w:i w:val="0"/>
          <w:sz w:val="22"/>
        </w:rPr>
        <w:t xml:space="preserve">, y el sesgo de recuperación que la sección 3.2 medía dentro del corpus deja de poder medirse ahí. Por eso se mide como </w:t>
      </w:r>
      <w:r>
        <w:rPr>
          <w:rFonts w:ascii="Times New Roman" w:hAnsi="Times New Roman"/>
          <w:b w:val="0"/>
          <w:i/>
          <w:sz w:val="22"/>
        </w:rPr>
        <w:t>efecto del criterio</w:t>
      </w:r>
      <w:r>
        <w:rPr>
          <w:rFonts w:ascii="Times New Roman" w:hAnsi="Times New Roman"/>
          <w:b w:val="0"/>
          <w:i w:val="0"/>
          <w:sz w:val="22"/>
        </w:rPr>
        <w:t xml:space="preserve"> (Tabla 3). Contando las dos fechas, el criterio deja fuera 67 estudios, y no son una muestra aleatoria: se lleva </w:t>
      </w:r>
      <w:r>
        <w:rPr>
          <w:rFonts w:ascii="Times New Roman" w:hAnsi="Times New Roman"/>
          <w:b w:val="0"/>
          <w:i/>
          <w:sz w:val="22"/>
        </w:rPr>
        <w:t>7 de los 9 diseños comparativos (77,8 %)</w:t>
      </w:r>
      <w:r>
        <w:rPr>
          <w:rFonts w:ascii="Times New Roman" w:hAnsi="Times New Roman"/>
          <w:b w:val="0"/>
          <w:i w:val="0"/>
          <w:sz w:val="22"/>
        </w:rPr>
        <w:t xml:space="preserve"> y 5 de los 7 ensayos aleatorizados. Los autores lo adoptaron conociendo ese efecto, y se declara aquí, con su fecha, en lugar de presentarse como si hubiera regido desde el principio.</w:t>
      </w:r>
    </w:p>
    <w:p>
      <w:pPr>
        <w:jc w:val="both"/>
      </w:pPr>
      <w:r>
        <w:rPr>
          <w:rFonts w:ascii="Times New Roman" w:hAnsi="Times New Roman"/>
          <w:b w:val="0"/>
          <w:i/>
          <w:sz w:val="22"/>
        </w:rPr>
        <w:t>Una tercera enmienda, menor: NOORG.</w:t>
      </w:r>
      <w:r>
        <w:rPr>
          <w:rFonts w:ascii="Times New Roman" w:hAnsi="Times New Roman"/>
          <w:b w:val="0"/>
          <w:i w:val="0"/>
          <w:sz w:val="22"/>
        </w:rP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spacing w:before="280" w:after="140"/>
      </w:pPr>
      <w:r>
        <w:rPr>
          <w:rFonts w:ascii="Times New Roman" w:hAnsi="Times New Roman"/>
          <w:b/>
          <w:i w:val="0"/>
          <w:sz w:val="24"/>
        </w:rPr>
        <w:t>3. Resultados</w:t>
      </w:r>
    </w:p>
    <w:p>
      <w:pPr>
        <w:spacing w:before="200" w:after="100"/>
      </w:pPr>
      <w:r>
        <w:rPr>
          <w:rFonts w:ascii="Times New Roman" w:hAnsi="Times New Roman"/>
          <w:b/>
          <w:i w:val="0"/>
          <w:sz w:val="22"/>
        </w:rPr>
        <w:t>3.1 Selección de los estudios</w:t>
      </w:r>
    </w:p>
    <w:p>
      <w:pPr>
        <w:jc w:val="both"/>
      </w:pPr>
      <w:r>
        <w:rPr>
          <w:rFonts w:ascii="Times New Roman" w:hAnsi="Times New Roman"/>
          <w:b w:val="0"/>
          <w:i w:val="0"/>
          <w:sz w:val="22"/>
        </w:rPr>
        <w:t xml:space="preserve">Las ocho fuentes aportaron </w:t>
      </w:r>
      <w:r>
        <w:rPr>
          <w:rFonts w:ascii="Times New Roman" w:hAnsi="Times New Roman"/>
          <w:b w:val="0"/>
          <w:i/>
          <w:sz w:val="22"/>
        </w:rPr>
        <w:t>23 057 registros</w:t>
      </w:r>
      <w:r>
        <w:rPr>
          <w:rFonts w:ascii="Times New Roman" w:hAnsi="Times New Roman"/>
          <w:b w:val="0"/>
          <w:i w:val="0"/>
          <w:sz w:val="22"/>
        </w:rPr>
        <w:t xml:space="preserve">, de los que se eliminaron 5 928 duplicados para dejar </w:t>
      </w:r>
      <w:r>
        <w:rPr>
          <w:rFonts w:ascii="Times New Roman" w:hAnsi="Times New Roman"/>
          <w:b w:val="0"/>
          <w:i/>
          <w:sz w:val="22"/>
        </w:rPr>
        <w:t>17 129 informes únicos</w:t>
      </w:r>
      <w:r>
        <w:rPr>
          <w:rFonts w:ascii="Times New Roman" w:hAnsi="Times New Roman"/>
          <w:b w:val="0"/>
          <w:i w:val="0"/>
          <w:sz w:val="22"/>
        </w:rPr>
        <w:t xml:space="preserve"> (Figura 1). Las reglas de etapa 1 excluyeron 3 235; de los 13 894 títulos cribados se excluyeron 13 434 y avanzaron 460 a lectura de resumen; de estos se excluyeron 227 y </w:t>
      </w:r>
      <w:r>
        <w:rPr>
          <w:rFonts w:ascii="Times New Roman" w:hAnsi="Times New Roman"/>
          <w:b w:val="0"/>
          <w:i/>
          <w:sz w:val="22"/>
        </w:rPr>
        <w:t>233 informes pasaron a texto completo</w:t>
      </w:r>
      <w:r>
        <w:rPr>
          <w:rFonts w:ascii="Times New Roman" w:hAnsi="Times New Roman"/>
          <w:b w:val="0"/>
          <w:i w:val="0"/>
          <w:sz w:val="22"/>
        </w:rPr>
        <w:t xml:space="preserve">. Al agrupar los informes por estudio, esos 233 corresponden a </w:t>
      </w:r>
      <w:r>
        <w:rPr>
          <w:rFonts w:ascii="Times New Roman" w:hAnsi="Times New Roman"/>
          <w:b w:val="0"/>
          <w:i/>
          <w:sz w:val="22"/>
        </w:rPr>
        <w:t>183 estudios evaluados para elegibilidad</w:t>
      </w:r>
      <w:r>
        <w:rPr>
          <w:rFonts w:ascii="Times New Roman" w:hAnsi="Times New Roman"/>
          <w:b w:val="0"/>
          <w:i w:val="0"/>
          <w:sz w:val="22"/>
        </w:rPr>
        <w:t xml:space="preserve">. De ellos, </w:t>
      </w:r>
      <w:r>
        <w:rPr>
          <w:rFonts w:ascii="Times New Roman" w:hAnsi="Times New Roman"/>
          <w:b w:val="0"/>
          <w:i/>
          <w:sz w:val="22"/>
        </w:rPr>
        <w:t>118 salieron del corpus</w:t>
      </w:r>
      <w:r>
        <w:rPr>
          <w:rFonts w:ascii="Times New Roman" w:hAnsi="Times New Roman"/>
          <w:b w:val="0"/>
          <w:i w:val="0"/>
          <w:sz w:val="22"/>
        </w:rPr>
        <w:t xml:space="preserve">: 63 por no disponer del PDF del artículo completo (sección 2.9) y 55 por los criterios de elegibilidad: 44 por incumplirlos —comprobado sobre el artículo o sobre la ficha del registro, salvo un editorial, juzgado por su indexación— y 11 porque no pudieron verificarse; el apartado siguiente los detalla. El cuerpo de evidencia queda en </w:t>
      </w:r>
      <w:r>
        <w:rPr>
          <w:rFonts w:ascii="Times New Roman" w:hAnsi="Times New Roman"/>
          <w:b w:val="0"/>
          <w:i/>
          <w:sz w:val="22"/>
        </w:rPr>
        <w:t>65 estudios</w:t>
      </w:r>
      <w:r>
        <w:rPr>
          <w:rFonts w:ascii="Times New Roman" w:hAnsi="Times New Roman"/>
          <w:b w:val="0"/>
          <w:i w:val="0"/>
          <w:sz w:val="22"/>
        </w:rP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en la identificación, porque PRISMA 2020 pide declarar las dos corrientes, y los une al flujo principal después de la deduplicación bibliográfica, que no atraviesan.</w:t>
      </w:r>
    </w:p>
    <w:p>
      <w:pPr>
        <w:spacing w:before="200" w:after="100"/>
      </w:pPr>
      <w:r>
        <w:rPr>
          <w:rFonts w:ascii="Times New Roman" w:hAnsi="Times New Roman"/>
          <w:b/>
          <w:i w:val="0"/>
          <w:sz w:val="22"/>
        </w:rPr>
        <w:t>3.1.1 Los 118 estudios que el cribado admitió y que salieron después</w:t>
      </w:r>
    </w:p>
    <w:p>
      <w:pPr>
        <w:jc w:val="both"/>
      </w:pPr>
      <w:r>
        <w:rPr>
          <w:rFonts w:ascii="Times New Roman" w:hAnsi="Times New Roman"/>
          <w:b w:val="0"/>
          <w:i/>
          <w:sz w:val="22"/>
        </w:rPr>
        <w:t>Sesenta y tres salieron por no disponer del artículo completo</w:t>
      </w:r>
      <w:r>
        <w:rPr>
          <w:rFonts w:ascii="Times New Roman" w:hAnsi="Times New Roman"/>
          <w:b w:val="0"/>
          <w:i w:val="0"/>
          <w:sz w:val="22"/>
        </w:rP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pPr>
        <w:jc w:val="both"/>
      </w:pPr>
      <w:r>
        <w:rPr>
          <w:rFonts w:ascii="Times New Roman" w:hAnsi="Times New Roman"/>
          <w:b w:val="0"/>
          <w:i/>
          <w:sz w:val="22"/>
        </w:rPr>
        <w:t>Treinta y ocho salieron sobre su publicación o por no poder leerla.</w:t>
      </w:r>
      <w:r>
        <w:rPr>
          <w:rFonts w:ascii="Times New Roman" w:hAnsi="Times New Roman"/>
          <w:b w:val="0"/>
          <w:i w:val="0"/>
          <w:sz w:val="22"/>
        </w:rPr>
        <w:t xml:space="preserve"> Se excluyeron por ocho motivos, y ninguno es una discrepancia de criterio: en siete, el estudio no cumple lo que la sección 2.2 ya exigía; los NOREC salieron porque no pudo verificarse. </w:t>
      </w:r>
      <w:r>
        <w:rPr>
          <w:rFonts w:ascii="Times New Roman" w:hAnsi="Times New Roman"/>
          <w:b w:val="0"/>
          <w:i/>
          <w:sz w:val="22"/>
        </w:rPr>
        <w:t>Treinta</w:t>
      </w:r>
      <w:r>
        <w:rPr>
          <w:rFonts w:ascii="Times New Roman" w:hAnsi="Times New Roman"/>
          <w:b w:val="0"/>
          <w:i w:val="0"/>
          <w:sz w:val="22"/>
        </w:rPr>
        <w:t xml:space="preserve"> salieron al juzgar su artículo, leyéndolo en todos los casos salvo un editorial, juzgado por su indexación. </w:t>
      </w:r>
      <w:r>
        <w:rPr>
          <w:rFonts w:ascii="Times New Roman" w:hAnsi="Times New Roman"/>
          <w:b w:val="0"/>
          <w:i/>
          <w:sz w:val="22"/>
        </w:rPr>
        <w:t>Dieciséis</w:t>
      </w:r>
      <w:r>
        <w:rPr>
          <w:rFonts w:ascii="Times New Roman" w:hAnsi="Times New Roman"/>
          <w:b w:val="0"/>
          <w:i w:val="0"/>
          <w:sz w:val="22"/>
        </w:rPr>
        <w:t xml:space="preserve"> no tienen a </w:t>
      </w:r>
      <w:r>
        <w:rPr>
          <w:rFonts w:ascii="Times New Roman" w:hAnsi="Times New Roman"/>
          <w:b w:val="0"/>
          <w:i/>
          <w:sz w:val="22"/>
        </w:rPr>
        <w:t>P. aeruginosa</w:t>
      </w:r>
      <w:r>
        <w:rPr>
          <w:rFonts w:ascii="Times New Roman" w:hAnsi="Times New Roman"/>
          <w:b w:val="0"/>
          <w:i w:val="0"/>
          <w:sz w:val="22"/>
        </w:rP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rFonts w:ascii="Times New Roman" w:hAnsi="Times New Roman"/>
          <w:b w:val="0"/>
          <w:i/>
          <w:sz w:val="22"/>
        </w:rPr>
        <w:t>Cinco</w:t>
      </w:r>
      <w:r>
        <w:rPr>
          <w:rFonts w:ascii="Times New Roman" w:hAnsi="Times New Roman"/>
          <w:b w:val="0"/>
          <w:i w:val="0"/>
          <w:sz w:val="22"/>
        </w:rPr>
        <w:t xml:space="preserve"> son protocolos de estudio: describen lo que se hará y no reportan desenlaces. </w:t>
      </w:r>
      <w:r>
        <w:rPr>
          <w:rFonts w:ascii="Times New Roman" w:hAnsi="Times New Roman"/>
          <w:b w:val="0"/>
          <w:i/>
          <w:sz w:val="22"/>
        </w:rPr>
        <w:t>Tres</w:t>
      </w:r>
      <w:r>
        <w:rPr>
          <w:rFonts w:ascii="Times New Roman" w:hAnsi="Times New Roman"/>
          <w:b w:val="0"/>
          <w:i w:val="0"/>
          <w:sz w:val="22"/>
        </w:rPr>
        <w:t xml:space="preserve"> no tienen pacientes: un modelo murino de neumonía asociada a ventilación, un modelo </w:t>
      </w:r>
      <w:r>
        <w:rPr>
          <w:rFonts w:ascii="Times New Roman" w:hAnsi="Times New Roman"/>
          <w:b w:val="0"/>
          <w:i/>
          <w:sz w:val="22"/>
        </w:rPr>
        <w:t>in vitro</w:t>
      </w:r>
      <w:r>
        <w:rPr>
          <w:rFonts w:ascii="Times New Roman" w:hAnsi="Times New Roman"/>
          <w:b w:val="0"/>
          <w:i w:val="0"/>
          <w:sz w:val="22"/>
        </w:rPr>
        <w:t xml:space="preserve"> de fibra hueca y un artículo de métodos sobre la preparación de fagos en el laboratorio. </w:t>
      </w:r>
      <w:r>
        <w:rPr>
          <w:rFonts w:ascii="Times New Roman" w:hAnsi="Times New Roman"/>
          <w:b w:val="0"/>
          <w:i/>
          <w:sz w:val="22"/>
        </w:rPr>
        <w:t>Dos</w:t>
      </w:r>
      <w:r>
        <w:rPr>
          <w:rFonts w:ascii="Times New Roman" w:hAnsi="Times New Roman"/>
          <w:b w:val="0"/>
          <w:i w:val="0"/>
          <w:sz w:val="22"/>
        </w:rPr>
        <w:t xml:space="preserve"> administran algo que no es un bacteriófago: una endolisina y un producto que dice inducir los fagos nativos del propio paciente. </w:t>
      </w:r>
      <w:r>
        <w:rPr>
          <w:rFonts w:ascii="Times New Roman" w:hAnsi="Times New Roman"/>
          <w:b w:val="0"/>
          <w:i/>
          <w:sz w:val="22"/>
        </w:rPr>
        <w:t>Dos</w:t>
      </w:r>
      <w:r>
        <w:rPr>
          <w:rFonts w:ascii="Times New Roman" w:hAnsi="Times New Roman"/>
          <w:b w:val="0"/>
          <w:i w:val="0"/>
          <w:sz w:val="22"/>
        </w:rPr>
        <w:t xml:space="preserve"> no evalúan fagoterapia en pacientes: en uno el fago solo se menciona como opción no disponible y nunca se administró, y el otro es un artículo de cirugía reconstructiva donde la fagoterapia aparece una sola vez, en una celda de tabla. </w:t>
      </w:r>
      <w:r>
        <w:rPr>
          <w:rFonts w:ascii="Times New Roman" w:hAnsi="Times New Roman"/>
          <w:b w:val="0"/>
          <w:i/>
          <w:sz w:val="22"/>
        </w:rPr>
        <w:t>Dos</w:t>
      </w:r>
      <w:r>
        <w:rPr>
          <w:rFonts w:ascii="Times New Roman" w:hAnsi="Times New Roman"/>
          <w:b w:val="0"/>
          <w:i w:val="0"/>
          <w:sz w:val="22"/>
        </w:rP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pPr>
        <w:jc w:val="both"/>
      </w:pPr>
      <w:r>
        <w:rPr>
          <w:rFonts w:ascii="Times New Roman" w:hAnsi="Times New Roman"/>
          <w:b w:val="0"/>
          <w:i/>
          <w:sz w:val="22"/>
        </w:rPr>
        <w:t>Cuatro más</w:t>
      </w:r>
      <w:r>
        <w:rPr>
          <w:rFonts w:ascii="Times New Roman" w:hAnsi="Times New Roman"/>
          <w:b w:val="0"/>
          <w:i w:val="0"/>
          <w:sz w:val="22"/>
        </w:rPr>
        <w:t xml:space="preserve"> salieron por </w:t>
      </w:r>
      <w:r>
        <w:rPr>
          <w:rFonts w:ascii="Times New Roman" w:hAnsi="Times New Roman"/>
          <w:b w:val="0"/>
          <w:i/>
          <w:sz w:val="22"/>
        </w:rPr>
        <w:t>idioma</w:t>
      </w:r>
      <w:r>
        <w:rPr>
          <w:rFonts w:ascii="Times New Roman" w:hAnsi="Times New Roman"/>
          <w:b w:val="0"/>
          <w:i w:val="0"/>
          <w:sz w:val="22"/>
        </w:rP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rFonts w:ascii="Times New Roman" w:hAnsi="Times New Roman"/>
          <w:b w:val="0"/>
          <w:i/>
          <w:sz w:val="22"/>
        </w:rPr>
        <w:t>sin traducción automática</w:t>
      </w:r>
      <w:r>
        <w:rPr>
          <w:rFonts w:ascii="Times New Roman" w:hAnsi="Times New Roman"/>
          <w:b w:val="0"/>
          <w:i w:val="0"/>
          <w:sz w:val="22"/>
        </w:rP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rFonts w:ascii="Times New Roman" w:hAnsi="Times New Roman"/>
          <w:b w:val="0"/>
          <w:i/>
          <w:sz w:val="22"/>
        </w:rPr>
        <w:t>Staphylococcus</w:t>
      </w:r>
      <w:r>
        <w:rPr>
          <w:rFonts w:ascii="Times New Roman" w:hAnsi="Times New Roman"/>
          <w:b w:val="0"/>
          <w:i w:val="0"/>
          <w:sz w:val="22"/>
        </w:rPr>
        <w:t xml:space="preserve"> y </w:t>
      </w:r>
      <w:r>
        <w:rPr>
          <w:rFonts w:ascii="Times New Roman" w:hAnsi="Times New Roman"/>
          <w:b w:val="0"/>
          <w:i/>
          <w:sz w:val="22"/>
        </w:rPr>
        <w:t>Streptococcus</w:t>
      </w:r>
      <w:r>
        <w:rPr>
          <w:rFonts w:ascii="Times New Roman" w:hAnsi="Times New Roman"/>
          <w:b w:val="0"/>
          <w:i w:val="0"/>
          <w:sz w:val="22"/>
        </w:rPr>
        <w:t xml:space="preserve">, y </w:t>
      </w:r>
      <w:r>
        <w:rPr>
          <w:rFonts w:ascii="Times New Roman" w:hAnsi="Times New Roman"/>
          <w:b w:val="0"/>
          <w:i/>
          <w:sz w:val="22"/>
        </w:rPr>
        <w:t>P. aeruginosa</w:t>
      </w:r>
      <w:r>
        <w:rPr>
          <w:rFonts w:ascii="Times New Roman" w:hAnsi="Times New Roman"/>
          <w:b w:val="0"/>
          <w:i w:val="0"/>
          <w:sz w:val="22"/>
        </w:rPr>
        <w:t xml:space="preserve"> solo figura en la composición del piobacteriófago administrado.</w:t>
      </w:r>
    </w:p>
    <w:p>
      <w:pPr>
        <w:jc w:val="both"/>
      </w:pPr>
      <w:r>
        <w:rPr>
          <w:rFonts w:ascii="Times New Roman" w:hAnsi="Times New Roman"/>
          <w:b w:val="0"/>
          <w:i w:val="0"/>
          <w:sz w:val="22"/>
        </w:rPr>
        <w:t xml:space="preserve">Ese caso destapó un defecto del propio procedimiento de verificación, y conviene declararlo. El detector de idioma analiza el título y el </w:t>
      </w:r>
      <w:r>
        <w:rPr>
          <w:rFonts w:ascii="Times New Roman" w:hAnsi="Times New Roman"/>
          <w:b w:val="0"/>
          <w:i/>
          <w:sz w:val="22"/>
        </w:rPr>
        <w:t>resumen indexado</w:t>
      </w:r>
      <w:r>
        <w:rPr>
          <w:rFonts w:ascii="Times New Roman" w:hAnsi="Times New Roman"/>
          <w:b w:val="0"/>
          <w:i w:val="0"/>
          <w:sz w:val="22"/>
        </w:rPr>
        <w:t xml:space="preserve">, pero su clase de evidencia más fuerte se llamaba «texto probado». Para un estudio sin texto completo recuperado eso afirma más de lo comprobado, y eran </w:t>
      </w:r>
      <w:r>
        <w:rPr>
          <w:rFonts w:ascii="Times New Roman" w:hAnsi="Times New Roman"/>
          <w:b w:val="0"/>
          <w:i/>
          <w:sz w:val="22"/>
        </w:rPr>
        <w:t>29 de los 95 estudios extraíbles de entonces</w:t>
      </w:r>
      <w:r>
        <w:rPr>
          <w:rFonts w:ascii="Times New Roman" w:hAnsi="Times New Roman"/>
          <w:b w:val="0"/>
          <w:i w:val="0"/>
          <w:sz w:val="22"/>
        </w:rP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pPr>
        <w:jc w:val="both"/>
      </w:pPr>
      <w:r>
        <w:rPr>
          <w:rFonts w:ascii="Times New Roman" w:hAnsi="Times New Roman"/>
          <w:b w:val="0"/>
          <w:i/>
          <w:sz w:val="22"/>
        </w:rPr>
        <w:t>Cuatro</w:t>
      </w:r>
      <w:r>
        <w:rPr>
          <w:rFonts w:ascii="Times New Roman" w:hAnsi="Times New Roman"/>
          <w:b w:val="0"/>
          <w:i w:val="0"/>
          <w:sz w:val="22"/>
        </w:rPr>
        <w:t xml:space="preserve"> salieron, por último, por </w:t>
      </w:r>
      <w:r>
        <w:rPr>
          <w:rFonts w:ascii="Times New Roman" w:hAnsi="Times New Roman"/>
          <w:b w:val="0"/>
          <w:i/>
          <w:sz w:val="22"/>
        </w:rPr>
        <w:t>NOREC</w:t>
      </w:r>
      <w:r>
        <w:rPr>
          <w:rFonts w:ascii="Times New Roman" w:hAnsi="Times New Roman"/>
          <w:b w:val="0"/>
          <w:i w:val="0"/>
          <w:sz w:val="22"/>
        </w:rP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pPr>
        <w:jc w:val="both"/>
      </w:pPr>
      <w:r>
        <w:rPr>
          <w:rFonts w:ascii="Times New Roman" w:hAnsi="Times New Roman"/>
          <w:b w:val="0"/>
          <w:i w:val="0"/>
          <w:sz w:val="22"/>
        </w:rPr>
        <w:t xml:space="preserve">La causa es común a casi todos y conviene decirla sin rodeos: el cribado de título y resumen lo emitió un modelo de lenguaje como revisor único (sección 2.4). Un resumen de protocolo, uno de modelo murino y uno que enumera </w:t>
      </w:r>
      <w:r>
        <w:rPr>
          <w:rFonts w:ascii="Times New Roman" w:hAnsi="Times New Roman"/>
          <w:b w:val="0"/>
          <w:i/>
          <w:sz w:val="22"/>
        </w:rPr>
        <w:t>P. aeruginosa</w:t>
      </w:r>
      <w:r>
        <w:rPr>
          <w:rFonts w:ascii="Times New Roman" w:hAnsi="Times New Roman"/>
          <w:b w:val="0"/>
          <w:i w:val="0"/>
          <w:sz w:val="22"/>
        </w:rPr>
        <w:t xml:space="preserve"> en el espectro de un fago polivalente </w:t>
      </w:r>
      <w:r>
        <w:rPr>
          <w:rFonts w:ascii="Times New Roman" w:hAnsi="Times New Roman"/>
          <w:b w:val="0"/>
          <w:i/>
          <w:sz w:val="22"/>
        </w:rPr>
        <w:t>se parecen mucho</w:t>
      </w:r>
      <w:r>
        <w:rPr>
          <w:rFonts w:ascii="Times New Roman" w:hAnsi="Times New Roman"/>
          <w:b w:val="0"/>
          <w:i w:val="0"/>
          <w:sz w:val="22"/>
        </w:rP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rFonts w:ascii="Times New Roman" w:hAnsi="Times New Roman"/>
          <w:b w:val="0"/>
          <w:i/>
          <w:sz w:val="22"/>
        </w:rPr>
        <w:t>30,1 %</w:t>
      </w:r>
      <w:r>
        <w:rPr>
          <w:rFonts w:ascii="Times New Roman" w:hAnsi="Times New Roman"/>
          <w:b w:val="0"/>
          <w:i w:val="0"/>
          <w:sz w:val="22"/>
        </w:rPr>
        <w:t xml:space="preserve"> de los 93 estudios cuyo texto completo se pudo leer. Es un suelo, no un total: los 63 que salieron por no disponer del artículo nunca se comprobaron contra él.</w:t>
      </w:r>
    </w:p>
    <w:p>
      <w:pPr>
        <w:jc w:val="both"/>
      </w:pPr>
      <w:r>
        <w:rPr>
          <w:rFonts w:ascii="Times New Roman" w:hAnsi="Times New Roman"/>
          <w:b w:val="0"/>
          <w:i/>
          <w:sz w:val="22"/>
        </w:rPr>
        <w:t>Otros 17 estudios salieron por una vía distinta: la ficha de su registro.</w:t>
      </w:r>
      <w:r>
        <w:rPr>
          <w:rFonts w:ascii="Times New Roman" w:hAnsi="Times New Roman"/>
          <w:b w:val="0"/>
          <w:i w:val="0"/>
          <w:sz w:val="22"/>
        </w:rPr>
        <w:t xml:space="preserve"> Los 38 anteriores tienen publicación; estos no tienen ninguna. Entraron al corpus porque su registro exportado traía </w:t>
      </w:r>
      <w:r>
        <w:rPr>
          <w:rFonts w:ascii="Times New Roman" w:hAnsi="Times New Roman"/>
          <w:b w:val="0"/>
          <w:i/>
          <w:sz w:val="22"/>
        </w:rPr>
        <w:t>solo el título</w:t>
      </w:r>
      <w:r>
        <w:rPr>
          <w:rFonts w:ascii="Times New Roman" w:hAnsi="Times New Roman"/>
          <w:b w:val="0"/>
          <w:i w:val="0"/>
          <w:sz w:val="22"/>
        </w:rPr>
        <w:t xml:space="preserve">, sin resumen y sin términos MeSH, de modo que el cribado no dispuso de nada con lo que descartarlos. Se contaron </w:t>
      </w:r>
      <w:r>
        <w:rPr>
          <w:rFonts w:ascii="Times New Roman" w:hAnsi="Times New Roman"/>
          <w:b w:val="0"/>
          <w:i/>
          <w:sz w:val="22"/>
        </w:rPr>
        <w:t>29 fichas</w:t>
      </w:r>
      <w:r>
        <w:rPr>
          <w:rFonts w:ascii="Times New Roman" w:hAnsi="Times New Roman"/>
          <w:b w:val="0"/>
          <w:i w:val="0"/>
          <w:sz w:val="22"/>
        </w:rPr>
        <w:t xml:space="preserve"> en esa situación; el modelo descargó la ficha completa de cada una de ClinicalTrials.gov y del registro europeo CTIS, las leyó una por una y propuso, con su frase, un veredicto para cada una, que firmaron los dos autores. </w:t>
      </w:r>
      <w:r>
        <w:rPr>
          <w:rFonts w:ascii="Times New Roman" w:hAnsi="Times New Roman"/>
          <w:b w:val="0"/>
          <w:i/>
          <w:sz w:val="22"/>
        </w:rPr>
        <w:t>12</w:t>
      </w:r>
      <w:r>
        <w:rPr>
          <w:rFonts w:ascii="Times New Roman" w:hAnsi="Times New Roman"/>
          <w:b w:val="0"/>
          <w:i w:val="0"/>
          <w:sz w:val="22"/>
        </w:rPr>
        <w:t xml:space="preserve"> nombran a </w:t>
      </w:r>
      <w:r>
        <w:rPr>
          <w:rFonts w:ascii="Times New Roman" w:hAnsi="Times New Roman"/>
          <w:b w:val="0"/>
          <w:i/>
          <w:sz w:val="22"/>
        </w:rPr>
        <w:t>P. aeruginosa</w:t>
      </w:r>
      <w:r>
        <w:rPr>
          <w:rFonts w:ascii="Times New Roman" w:hAnsi="Times New Roman"/>
          <w:b w:val="0"/>
          <w:i w:val="0"/>
          <w:sz w:val="22"/>
        </w:rPr>
        <w:t xml:space="preserve"> entre los organismos de la población que van a tratar y superaron el criterio de población; como ninguna tiene artículo publicado, salieron después por el criterio del texto completo (sección 2.9). </w:t>
      </w:r>
      <w:r>
        <w:rPr>
          <w:rFonts w:ascii="Times New Roman" w:hAnsi="Times New Roman"/>
          <w:b w:val="0"/>
          <w:i/>
          <w:sz w:val="22"/>
        </w:rPr>
        <w:t>8</w:t>
      </w:r>
      <w:r>
        <w:rPr>
          <w:rFonts w:ascii="Times New Roman" w:hAnsi="Times New Roman"/>
          <w:b w:val="0"/>
          <w:i w:val="0"/>
          <w:sz w:val="22"/>
        </w:rPr>
        <w:t xml:space="preserve"> declaran otro organismo en sus criterios de elegibilidad —</w:t>
      </w:r>
      <w:r>
        <w:rPr>
          <w:rFonts w:ascii="Times New Roman" w:hAnsi="Times New Roman"/>
          <w:b w:val="0"/>
          <w:i/>
          <w:sz w:val="22"/>
        </w:rPr>
        <w:t>S. aureus</w:t>
      </w:r>
      <w:r>
        <w:rPr>
          <w:rFonts w:ascii="Times New Roman" w:hAnsi="Times New Roman"/>
          <w:b w:val="0"/>
          <w:i w:val="0"/>
          <w:sz w:val="22"/>
        </w:rPr>
        <w:t xml:space="preserve">, </w:t>
      </w:r>
      <w:r>
        <w:rPr>
          <w:rFonts w:ascii="Times New Roman" w:hAnsi="Times New Roman"/>
          <w:b w:val="0"/>
          <w:i/>
          <w:sz w:val="22"/>
        </w:rPr>
        <w:t>S. epidermidis</w:t>
      </w:r>
      <w:r>
        <w:rPr>
          <w:rFonts w:ascii="Times New Roman" w:hAnsi="Times New Roman"/>
          <w:b w:val="0"/>
          <w:i w:val="0"/>
          <w:sz w:val="22"/>
        </w:rPr>
        <w:t xml:space="preserve">, </w:t>
      </w:r>
      <w:r>
        <w:rPr>
          <w:rFonts w:ascii="Times New Roman" w:hAnsi="Times New Roman"/>
          <w:b w:val="0"/>
          <w:i/>
          <w:sz w:val="22"/>
        </w:rPr>
        <w:t>E. coli</w:t>
      </w:r>
      <w:r>
        <w:rPr>
          <w:rFonts w:ascii="Times New Roman" w:hAnsi="Times New Roman"/>
          <w:b w:val="0"/>
          <w:i w:val="0"/>
          <w:sz w:val="22"/>
        </w:rP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rFonts w:ascii="Times New Roman" w:hAnsi="Times New Roman"/>
          <w:b w:val="0"/>
          <w:i/>
          <w:sz w:val="22"/>
        </w:rPr>
        <w:t>E. coli</w:t>
      </w:r>
      <w:r>
        <w:rPr>
          <w:rFonts w:ascii="Times New Roman" w:hAnsi="Times New Roman"/>
          <w:b w:val="0"/>
          <w:i w:val="0"/>
          <w:sz w:val="22"/>
        </w:rPr>
        <w:t xml:space="preserve"> en niños con diarrea, cuyo título indexado —«Antibacterial Treatment Against Diarrhea in Oral Rehydration Solution»— no permite saberlo.</w:t>
      </w:r>
    </w:p>
    <w:p>
      <w:pPr>
        <w:jc w:val="both"/>
      </w:pPr>
      <w:r>
        <w:rPr>
          <w:rFonts w:ascii="Times New Roman" w:hAnsi="Times New Roman"/>
          <w:b w:val="0"/>
          <w:i w:val="0"/>
          <w:sz w:val="22"/>
        </w:rPr>
        <w:t xml:space="preserve">Los </w:t>
      </w:r>
      <w:r>
        <w:rPr>
          <w:rFonts w:ascii="Times New Roman" w:hAnsi="Times New Roman"/>
          <w:b w:val="0"/>
          <w:i/>
          <w:sz w:val="22"/>
        </w:rPr>
        <w:t>7 restantes</w:t>
      </w:r>
      <w:r>
        <w:rPr>
          <w:rFonts w:ascii="Times New Roman" w:hAnsi="Times New Roman"/>
          <w:b w:val="0"/>
          <w:i w:val="0"/>
          <w:sz w:val="22"/>
        </w:rPr>
        <w:t xml:space="preserve"> no declaran bacteria alguna: su ficha no permite verificar el criterio ni a favor ni en contra. Excluirlos obligó a una enmienda del protocolo, porque ningún código del vocabulario decía eso. </w:t>
      </w:r>
      <w:r>
        <w:rPr>
          <w:rFonts w:ascii="Times New Roman" w:hAnsi="Times New Roman"/>
          <w:b w:val="0"/>
          <w:i/>
          <w:sz w:val="22"/>
        </w:rPr>
        <w:t>NOORG</w:t>
      </w:r>
      <w:r>
        <w:rPr>
          <w:rFonts w:ascii="Times New Roman" w:hAnsi="Times New Roman"/>
          <w:b w:val="0"/>
          <w:i w:val="0"/>
          <w:sz w:val="22"/>
        </w:rP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pPr>
        <w:jc w:val="both"/>
      </w:pPr>
      <w:r>
        <w:rPr>
          <w:rFonts w:ascii="Times New Roman" w:hAnsi="Times New Roman"/>
          <w:b w:val="0"/>
          <w:i w:val="0"/>
          <w:sz w:val="22"/>
        </w:rPr>
        <w:t xml:space="preserve">Al leerlas apareció además un </w:t>
      </w:r>
      <w:r>
        <w:rPr>
          <w:rFonts w:ascii="Times New Roman" w:hAnsi="Times New Roman"/>
          <w:b w:val="0"/>
          <w:i/>
          <w:sz w:val="22"/>
        </w:rPr>
        <w:t>duplicado</w:t>
      </w:r>
      <w:r>
        <w:rPr>
          <w:rFonts w:ascii="Times New Roman" w:hAnsi="Times New Roman"/>
          <w:b w:val="0"/>
          <w:i w:val="0"/>
          <w:sz w:val="22"/>
        </w:rPr>
        <w:t>: el ensayo Phage4Cure-001 está en CTIS con dos identificadores, uno por versión del protocolo, y había entrado como dos estudios porque sus títulos difieren en dos palabras. Es un solo ensayo, comprobado y firmado, y se cuenta una sola vez.</w:t>
      </w:r>
    </w:p>
    <w:p>
      <w:pPr>
        <w:jc w:val="both"/>
      </w:pPr>
      <w:r>
        <w:rPr>
          <w:rFonts w:ascii="Times New Roman" w:hAnsi="Times New Roman"/>
          <w:b w:val="0"/>
          <w:i w:val="0"/>
          <w:sz w:val="22"/>
        </w:rPr>
        <w:t xml:space="preserve">Los 65 estudios del corpus tienen todos su artículo completo. Antes del criterio del texto completo, </w:t>
      </w:r>
      <w:r>
        <w:rPr>
          <w:rFonts w:ascii="Times New Roman" w:hAnsi="Times New Roman"/>
          <w:b w:val="0"/>
          <w:i/>
          <w:sz w:val="22"/>
        </w:rPr>
        <w:t>42 de los 128 estudios eran únicamente fichas de registro de ensayo</w:t>
      </w:r>
      <w:r>
        <w:rPr>
          <w:rFonts w:ascii="Times New Roman" w:hAnsi="Times New Roman"/>
          <w:b w:val="0"/>
          <w:i w:val="0"/>
          <w:sz w:val="22"/>
        </w:rPr>
        <w:t>, sin publicación asociada localizable. Esa cifra, que el criterio saca del corpus pero no del campo, basta por sí sola para describir una literatura en la que casi uno de cada tres estudios registrados no ha publicado resultados.</w:t>
      </w:r>
    </w:p>
    <w:p>
      <w:pPr>
        <w:jc w:val="both"/>
      </w:pPr>
      <w:r>
        <w:rPr>
          <w:rFonts w:ascii="Times New Roman" w:hAnsi="Times New Roman"/>
          <w:b w:val="0"/>
          <w:i w:val="0"/>
          <w:sz w:val="22"/>
        </w:rP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rFonts w:ascii="Times New Roman" w:hAnsi="Times New Roman"/>
          <w:b w:val="0"/>
          <w:i/>
          <w:sz w:val="22"/>
        </w:rPr>
        <w:t>idioma no admitido (35)</w:t>
      </w:r>
      <w:r>
        <w:rPr>
          <w:rFonts w:ascii="Times New Roman" w:hAnsi="Times New Roman"/>
          <w:b w:val="0"/>
          <w:i w:val="0"/>
          <w:sz w:val="22"/>
        </w:rPr>
        <w:t>, laboratorio (18) y síntesis secundaria (5).</w:t>
      </w:r>
    </w:p>
    <w:p>
      <w:pPr>
        <w:spacing w:before="200" w:after="100"/>
      </w:pPr>
      <w:r>
        <w:rPr>
          <w:rFonts w:ascii="Times New Roman" w:hAnsi="Times New Roman"/>
          <w:b/>
          <w:i w:val="0"/>
          <w:sz w:val="22"/>
        </w:rPr>
        <w:t>3.2 Recuperación del texto completo y su sesgo</w:t>
      </w:r>
    </w:p>
    <w:p>
      <w:pPr>
        <w:jc w:val="both"/>
      </w:pPr>
      <w:r>
        <w:rPr>
          <w:rFonts w:ascii="Times New Roman" w:hAnsi="Times New Roman"/>
          <w:b w:val="0"/>
          <w:i w:val="0"/>
          <w:sz w:val="22"/>
        </w:rPr>
        <w:t xml:space="preserve">Los 65 estudios del corpus tienen su texto completo, obtenido por vías de acceso abierto legítimas. Desde el criterio de la sección 2.9 esa es la condición de entrada, de modo que la tasa del </w:t>
      </w:r>
      <w:r>
        <w:rPr>
          <w:rFonts w:ascii="Times New Roman" w:hAnsi="Times New Roman"/>
          <w:b w:val="0"/>
          <w:i/>
          <w:sz w:val="22"/>
        </w:rPr>
        <w:t>100,0 %</w:t>
      </w:r>
      <w:r>
        <w:rPr>
          <w:rFonts w:ascii="Times New Roman" w:hAnsi="Times New Roman"/>
          <w:b w:val="0"/>
          <w:i w:val="0"/>
          <w:sz w:val="22"/>
        </w:rPr>
        <w:t xml:space="preserve"> no mide la recuperación, sino el criterio. La recuperación se mide justo antes de él: el texto se había obtenido para </w:t>
      </w:r>
      <w:r>
        <w:rPr>
          <w:rFonts w:ascii="Times New Roman" w:hAnsi="Times New Roman"/>
          <w:b w:val="0"/>
          <w:i/>
          <w:sz w:val="22"/>
        </w:rPr>
        <w:t>65 de los 86 estudios con artículo o resumen (75,6 %)</w:t>
      </w:r>
      <w:r>
        <w:rPr>
          <w:rFonts w:ascii="Times New Roman" w:hAnsi="Times New Roman"/>
          <w:b w:val="0"/>
          <w:i w:val="0"/>
          <w:sz w:val="22"/>
        </w:rP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pPr>
        <w:jc w:val="both"/>
      </w:pPr>
      <w:r>
        <w:rPr>
          <w:rFonts w:ascii="Times New Roman" w:hAnsi="Times New Roman"/>
          <w:b w:val="0"/>
          <w:i w:val="0"/>
          <w:sz w:val="22"/>
        </w:rPr>
        <w:t xml:space="preserve">La fracción no obtenida </w:t>
      </w:r>
      <w:r>
        <w:rPr>
          <w:rFonts w:ascii="Times New Roman" w:hAnsi="Times New Roman"/>
          <w:b w:val="0"/>
          <w:i/>
          <w:sz w:val="22"/>
        </w:rPr>
        <w:t>no era una muestra aleatoria del conjunto</w:t>
      </w:r>
      <w:r>
        <w:rPr>
          <w:rFonts w:ascii="Times New Roman" w:hAnsi="Times New Roman"/>
          <w:b w:val="0"/>
          <w:i w:val="0"/>
          <w:sz w:val="22"/>
        </w:rPr>
        <w:t xml:space="preserve"> (Tabla 3), y el criterio que la excluye tampoco lo es. Contando los 4 estudios de NOREC, los estudios que el criterio deja fuera contienen 7 de los 9 diseños comparativos, el </w:t>
      </w:r>
      <w:r>
        <w:rPr>
          <w:rFonts w:ascii="Times New Roman" w:hAnsi="Times New Roman"/>
          <w:b w:val="0"/>
          <w:i/>
          <w:sz w:val="22"/>
        </w:rPr>
        <w:t>77,8 %</w:t>
      </w:r>
      <w:r>
        <w:rPr>
          <w:rFonts w:ascii="Times New Roman" w:hAnsi="Times New Roman"/>
          <w:b w:val="0"/>
          <w:i w:val="0"/>
          <w:sz w:val="22"/>
        </w:rPr>
        <w:t>, aunque declaran menos pacientes en total. De los 7 ensayos aleatorizados identificados con artículo o resumen, el corpus conserva 2 —PhagoBurn (17) y BX004-A (18)—, y los otros 5 salieron por el criterio, entre ellos el de TP-102 (19).</w:t>
      </w:r>
    </w:p>
    <w:p>
      <w:pPr>
        <w:jc w:val="both"/>
      </w:pPr>
      <w:r>
        <w:rPr>
          <w:rFonts w:ascii="Times New Roman" w:hAnsi="Times New Roman"/>
          <w:b w:val="0"/>
          <w:i w:val="0"/>
          <w:sz w:val="22"/>
        </w:rP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spacing w:before="200" w:after="100"/>
      </w:pPr>
      <w:r>
        <w:rPr>
          <w:rFonts w:ascii="Times New Roman" w:hAnsi="Times New Roman"/>
          <w:b/>
          <w:i w:val="0"/>
          <w:sz w:val="22"/>
        </w:rPr>
        <w:t>3.3 Características del cuerpo de evidencia</w:t>
      </w:r>
    </w:p>
    <w:p>
      <w:pPr>
        <w:jc w:val="both"/>
      </w:pPr>
      <w:r>
        <w:rPr>
          <w:rFonts w:ascii="Times New Roman" w:hAnsi="Times New Roman"/>
          <w:b w:val="0"/>
          <w:i w:val="0"/>
          <w:sz w:val="22"/>
        </w:rPr>
        <w:t xml:space="preserve">Los 65 estudios del corpus se publicaron entre </w:t>
      </w:r>
      <w:r>
        <w:rPr>
          <w:rFonts w:ascii="Times New Roman" w:hAnsi="Times New Roman"/>
          <w:b w:val="0"/>
          <w:i/>
          <w:sz w:val="22"/>
        </w:rPr>
        <w:t>2017 y 2026</w:t>
      </w:r>
      <w:r>
        <w:rPr>
          <w:rFonts w:ascii="Times New Roman" w:hAnsi="Times New Roman"/>
          <w:b w:val="0"/>
          <w:i w:val="0"/>
          <w:sz w:val="22"/>
        </w:rPr>
        <w:t xml:space="preserve">, y el </w:t>
      </w:r>
      <w:r>
        <w:rPr>
          <w:rFonts w:ascii="Times New Roman" w:hAnsi="Times New Roman"/>
          <w:b w:val="0"/>
          <w:i/>
          <w:sz w:val="22"/>
        </w:rPr>
        <w:t>86,2 %</w:t>
      </w:r>
      <w:r>
        <w:rPr>
          <w:rFonts w:ascii="Times New Roman" w:hAnsi="Times New Roman"/>
          <w:b w:val="0"/>
          <w:i w:val="0"/>
          <w:sz w:val="22"/>
        </w:rPr>
        <w:t xml:space="preserve"> desde 2020. Es un cuerpo de evidencia joven y en expansión rápida (Tabla 1).</w:t>
      </w:r>
    </w:p>
    <w:p>
      <w:pPr>
        <w:jc w:val="both"/>
      </w:pPr>
      <w:r>
        <w:rPr>
          <w:rFonts w:ascii="Times New Roman" w:hAnsi="Times New Roman"/>
          <w:b w:val="0"/>
          <w:i w:val="0"/>
          <w:sz w:val="22"/>
        </w:rPr>
        <w:t xml:space="preserve">Su composición por diseño es la que cabe esperar de una literatura de rescate, no la que una síntesis de eficacia necesita: </w:t>
      </w:r>
      <w:r>
        <w:rPr>
          <w:rFonts w:ascii="Times New Roman" w:hAnsi="Times New Roman"/>
          <w:b w:val="0"/>
          <w:i/>
          <w:sz w:val="22"/>
        </w:rPr>
        <w:t>34 reportes de caso único (52,3 %)</w:t>
      </w:r>
      <w:r>
        <w:rPr>
          <w:rFonts w:ascii="Times New Roman" w:hAnsi="Times New Roman"/>
          <w:b w:val="0"/>
          <w:i w:val="0"/>
          <w:sz w:val="22"/>
        </w:rPr>
        <w:t xml:space="preserve">, 16 series de casos, 7 cohortes prospectivas, 2 ensayos aleatorizados, 0 ensayos no aleatorizados y 3 cohortes retrospectivas. Otros 3 no declaran su diseño de forma reconocible en el resumen. Los comparativos suman </w:t>
      </w:r>
      <w:r>
        <w:rPr>
          <w:rFonts w:ascii="Times New Roman" w:hAnsi="Times New Roman"/>
          <w:b w:val="0"/>
          <w:i/>
          <w:sz w:val="22"/>
        </w:rPr>
        <w:t>2 estudios, el 3,1 %</w:t>
      </w:r>
      <w:r>
        <w:rPr>
          <w:rFonts w:ascii="Times New Roman" w:hAnsi="Times New Roman"/>
          <w:b w:val="0"/>
          <w:i w:val="0"/>
          <w:sz w:val="22"/>
        </w:rPr>
        <w:t xml:space="preserve"> del total, y son los únicos capaces de sostener una afirmación de eficacia relativa.</w:t>
      </w:r>
    </w:p>
    <w:p>
      <w:pPr>
        <w:jc w:val="both"/>
      </w:pPr>
      <w:r>
        <w:rPr>
          <w:rFonts w:ascii="Times New Roman" w:hAnsi="Times New Roman"/>
          <w:b w:val="0"/>
          <w:i w:val="0"/>
          <w:sz w:val="22"/>
        </w:rP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spacing w:before="200" w:after="100"/>
      </w:pPr>
      <w:r>
        <w:rPr>
          <w:rFonts w:ascii="Times New Roman" w:hAnsi="Times New Roman"/>
          <w:b/>
          <w:i w:val="0"/>
          <w:sz w:val="22"/>
        </w:rPr>
        <w:t>3.4 Lo que el cuerpo de evidencia no declara</w:t>
      </w:r>
    </w:p>
    <w:p>
      <w:pPr>
        <w:jc w:val="both"/>
      </w:pPr>
      <w:r>
        <w:rPr>
          <w:rFonts w:ascii="Times New Roman" w:hAnsi="Times New Roman"/>
          <w:b w:val="0"/>
          <w:i w:val="0"/>
          <w:sz w:val="22"/>
        </w:rPr>
        <w:t>La completitud de reporte, medida sobre lo que los resúmenes hacen explícito, es baja precisamente en las variables de las que depende cualquier estratificación (Tabla 2):</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clase de resistencia</w:t>
      </w:r>
      <w:r>
        <w:rPr>
          <w:rFonts w:ascii="Times New Roman" w:hAnsi="Times New Roman"/>
          <w:b w:val="0"/>
          <w:i w:val="0"/>
          <w:sz w:val="22"/>
        </w:rPr>
        <w:t xml:space="preserve"> (MDR, XDR o PDR) no puede asignarse en el </w:t>
      </w:r>
      <w:r>
        <w:rPr>
          <w:rFonts w:ascii="Times New Roman" w:hAnsi="Times New Roman"/>
          <w:b w:val="0"/>
          <w:i/>
          <w:sz w:val="22"/>
        </w:rPr>
        <w:t>70,8 %</w:t>
      </w:r>
      <w:r>
        <w:rPr>
          <w:rFonts w:ascii="Times New Roman" w:hAnsi="Times New Roman"/>
          <w:b w:val="0"/>
          <w:i w:val="0"/>
          <w:sz w:val="22"/>
        </w:rP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spacing w:after="80" w:line="276" w:lineRule="auto"/>
        <w:ind w:left="504" w:hanging="504"/>
        <w:jc w:val="both"/>
      </w:pPr>
      <w:r>
        <w:rPr>
          <w:rFonts w:ascii="Times New Roman" w:hAnsi="Times New Roman"/>
          <w:b w:val="0"/>
          <w:i w:val="0"/>
          <w:sz w:val="22"/>
        </w:rPr>
        <w:t xml:space="preserve">• La </w:t>
      </w:r>
      <w:r>
        <w:rPr>
          <w:rFonts w:ascii="Times New Roman" w:hAnsi="Times New Roman"/>
          <w:b w:val="0"/>
          <w:i/>
          <w:sz w:val="22"/>
        </w:rPr>
        <w:t>vía de administración</w:t>
      </w:r>
      <w:r>
        <w:rPr>
          <w:rFonts w:ascii="Times New Roman" w:hAnsi="Times New Roman"/>
          <w:b w:val="0"/>
          <w:i w:val="0"/>
          <w:sz w:val="22"/>
        </w:rPr>
        <w:t xml:space="preserve"> no consta en el </w:t>
      </w:r>
      <w:r>
        <w:rPr>
          <w:rFonts w:ascii="Times New Roman" w:hAnsi="Times New Roman"/>
          <w:b w:val="0"/>
          <w:i/>
          <w:sz w:val="22"/>
        </w:rPr>
        <w:t>49,2 %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w:t>
      </w:r>
      <w:r>
        <w:rPr>
          <w:rFonts w:ascii="Times New Roman" w:hAnsi="Times New Roman"/>
          <w:b w:val="0"/>
          <w:i/>
          <w:sz w:val="22"/>
        </w:rPr>
        <w:t>ámbito de patógeno</w:t>
      </w:r>
      <w:r>
        <w:rPr>
          <w:rFonts w:ascii="Times New Roman" w:hAnsi="Times New Roman"/>
          <w:b w:val="0"/>
          <w:i w:val="0"/>
          <w:sz w:val="22"/>
        </w:rPr>
        <w:t xml:space="preserve">, esto es, si el estudio trata solo </w:t>
      </w:r>
      <w:r>
        <w:rPr>
          <w:rFonts w:ascii="Times New Roman" w:hAnsi="Times New Roman"/>
          <w:b w:val="0"/>
          <w:i/>
          <w:sz w:val="22"/>
        </w:rPr>
        <w:t>P. aeruginosa</w:t>
      </w:r>
      <w:r>
        <w:rPr>
          <w:rFonts w:ascii="Times New Roman" w:hAnsi="Times New Roman"/>
          <w:b w:val="0"/>
          <w:i w:val="0"/>
          <w:sz w:val="22"/>
        </w:rPr>
        <w:t xml:space="preserve"> o es mixto con subgrupo separable, no consta en el </w:t>
      </w:r>
      <w:r>
        <w:rPr>
          <w:rFonts w:ascii="Times New Roman" w:hAnsi="Times New Roman"/>
          <w:b w:val="0"/>
          <w:i/>
          <w:sz w:val="22"/>
        </w:rPr>
        <w:t>26,2 %</w:t>
      </w:r>
      <w:r>
        <w:rPr>
          <w:rFonts w:ascii="Times New Roman" w:hAnsi="Times New Roman"/>
          <w:b w:val="0"/>
          <w:i w:val="0"/>
          <w:sz w:val="22"/>
        </w:rPr>
        <w:t>.</w:t>
      </w:r>
    </w:p>
    <w:p>
      <w:pPr>
        <w:spacing w:after="80" w:line="276" w:lineRule="auto"/>
        <w:ind w:left="504" w:hanging="504"/>
        <w:jc w:val="both"/>
      </w:pPr>
      <w:r>
        <w:rPr>
          <w:rFonts w:ascii="Times New Roman" w:hAnsi="Times New Roman"/>
          <w:b w:val="0"/>
          <w:i w:val="0"/>
          <w:sz w:val="22"/>
        </w:rPr>
        <w:t xml:space="preserve">• El cumplimiento del criterio </w:t>
      </w:r>
      <w:r>
        <w:rPr>
          <w:rFonts w:ascii="Times New Roman" w:hAnsi="Times New Roman"/>
          <w:b w:val="0"/>
          <w:i/>
          <w:sz w:val="22"/>
        </w:rPr>
        <w:t>DTR</w:t>
      </w:r>
      <w:r>
        <w:rPr>
          <w:rFonts w:ascii="Times New Roman" w:hAnsi="Times New Roman"/>
          <w:b w:val="0"/>
          <w:i w:val="0"/>
          <w:sz w:val="22"/>
        </w:rPr>
        <w:t xml:space="preserve"> (</w:t>
      </w:r>
      <w:r>
        <w:rPr>
          <w:rFonts w:ascii="Times New Roman" w:hAnsi="Times New Roman"/>
          <w:b w:val="0"/>
          <w:i/>
          <w:sz w:val="22"/>
        </w:rPr>
        <w:t>difficult-to-treat resistance</w:t>
      </w:r>
      <w:r>
        <w:rPr>
          <w:rFonts w:ascii="Times New Roman" w:hAnsi="Times New Roman"/>
          <w:b w:val="0"/>
          <w:i w:val="0"/>
          <w:sz w:val="22"/>
        </w:rPr>
        <w:t xml:space="preserve">) no consta en el </w:t>
      </w:r>
      <w:r>
        <w:rPr>
          <w:rFonts w:ascii="Times New Roman" w:hAnsi="Times New Roman"/>
          <w:b w:val="0"/>
          <w:i/>
          <w:sz w:val="22"/>
        </w:rPr>
        <w:t>96,9 %</w:t>
      </w:r>
      <w:r>
        <w:rPr>
          <w:rFonts w:ascii="Times New Roman" w:hAnsi="Times New Roman"/>
          <w:b w:val="0"/>
          <w:i w:val="0"/>
          <w:sz w:val="22"/>
        </w:rPr>
        <w:t>.</w:t>
      </w:r>
    </w:p>
    <w:p>
      <w:pPr>
        <w:jc w:val="both"/>
      </w:pPr>
      <w:r>
        <w:rPr>
          <w:rFonts w:ascii="Times New Roman" w:hAnsi="Times New Roman"/>
          <w:b w:val="0"/>
          <w:i w:val="0"/>
          <w:sz w:val="22"/>
        </w:rP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rFonts w:ascii="Times New Roman" w:hAnsi="Times New Roman"/>
          <w:b w:val="0"/>
          <w:i/>
          <w:sz w:val="22"/>
        </w:rPr>
        <w:t>En 8 de los 73 brazos la clase queda por debajo del umbral de multirresistencia</w:t>
      </w:r>
      <w:r>
        <w:rPr>
          <w:rFonts w:ascii="Times New Roman" w:hAnsi="Times New Roman"/>
          <w:b w:val="0"/>
          <w:i w:val="0"/>
          <w:sz w:val="22"/>
        </w:rP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pPr>
        <w:jc w:val="both"/>
      </w:pPr>
      <w:r>
        <w:rPr>
          <w:rFonts w:ascii="Times New Roman" w:hAnsi="Times New Roman"/>
          <w:b w:val="0"/>
          <w:i/>
          <w:sz w:val="22"/>
        </w:rPr>
        <w:t>La clase se comprobó después contra el artículo.</w:t>
      </w:r>
      <w:r>
        <w:rPr>
          <w:rFonts w:ascii="Times New Roman" w:hAnsi="Times New Roman"/>
          <w:b w:val="0"/>
          <w:i w:val="0"/>
          <w:sz w:val="22"/>
        </w:rP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rFonts w:ascii="Times New Roman" w:hAnsi="Times New Roman"/>
          <w:b w:val="0"/>
          <w:i/>
          <w:sz w:val="22"/>
        </w:rPr>
        <w:t>P. aeruginosa</w:t>
      </w:r>
      <w:r>
        <w:rPr>
          <w:rFonts w:ascii="Times New Roman" w:hAnsi="Times New Roman"/>
          <w:b w:val="0"/>
          <w:i w:val="0"/>
          <w:sz w:val="22"/>
        </w:rPr>
        <w:t xml:space="preserve"> tratado con fagos. Los dos autores excluyeron 5 con el código ORG (EST-009, EST-055, EST-132, EST-181 y EST-208; sección 3.1.1) y mantuvieron 4, que se declaran aquí con lo que el artículo dice: en EST-152 y EST-170 la única mención de </w:t>
      </w:r>
      <w:r>
        <w:rPr>
          <w:rFonts w:ascii="Times New Roman" w:hAnsi="Times New Roman"/>
          <w:b w:val="0"/>
          <w:i/>
          <w:sz w:val="22"/>
        </w:rPr>
        <w:t>P. aeruginosa</w:t>
      </w:r>
      <w:r>
        <w:rPr>
          <w:rFonts w:ascii="Times New Roman" w:hAnsi="Times New Roman"/>
          <w:b w:val="0"/>
          <w:i w:val="0"/>
          <w:sz w:val="22"/>
        </w:rPr>
        <w:t xml:space="preserve"> es la descripción del paciente de otro estudio del corpus (EST-049 y EST-106), y en EST-129 y EST-135 el paciente tuvo </w:t>
      </w:r>
      <w:r>
        <w:rPr>
          <w:rFonts w:ascii="Times New Roman" w:hAnsi="Times New Roman"/>
          <w:b w:val="0"/>
          <w:i/>
          <w:sz w:val="22"/>
        </w:rPr>
        <w:t>P. aeruginosa</w:t>
      </w:r>
      <w:r>
        <w:rPr>
          <w:rFonts w:ascii="Times New Roman" w:hAnsi="Times New Roman"/>
          <w:b w:val="0"/>
          <w:i w:val="0"/>
          <w:sz w:val="22"/>
        </w:rPr>
        <w:t xml:space="preserve">, pero el fago no se dirigió contra ella. Lo mismo ocurre en EST-051, que también se mantiene. En EST-096, que se mantiene por la misma decisión, la paciente 10 sí recibió un fago contra </w:t>
      </w:r>
      <w:r>
        <w:rPr>
          <w:rFonts w:ascii="Times New Roman" w:hAnsi="Times New Roman"/>
          <w:b w:val="0"/>
          <w:i/>
          <w:sz w:val="22"/>
        </w:rPr>
        <w:t>P. aeruginosa</w:t>
      </w:r>
      <w:r>
        <w:rPr>
          <w:rFonts w:ascii="Times New Roman" w:hAnsi="Times New Roman"/>
          <w:b w:val="0"/>
          <w:i w:val="0"/>
          <w:sz w:val="22"/>
        </w:rP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rFonts w:ascii="Times New Roman" w:hAnsi="Times New Roman"/>
          <w:b w:val="0"/>
          <w:i/>
          <w:sz w:val="22"/>
        </w:rPr>
        <w:t>P. aeruginosa</w:t>
      </w:r>
      <w:r>
        <w:rPr>
          <w:rFonts w:ascii="Times New Roman" w:hAnsi="Times New Roman"/>
          <w:b w:val="0"/>
          <w:i w:val="0"/>
          <w:sz w:val="22"/>
        </w:rP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el valor que el modelo derivó del texto que firmaron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spacing w:before="200" w:after="100"/>
      </w:pPr>
      <w:r>
        <w:rPr>
          <w:rFonts w:ascii="Times New Roman" w:hAnsi="Times New Roman"/>
          <w:b/>
          <w:i w:val="0"/>
          <w:sz w:val="22"/>
        </w:rPr>
        <w:t>3.5 Lo que el corpus reporta en cada desenlace</w:t>
      </w:r>
    </w:p>
    <w:p>
      <w:pPr>
        <w:jc w:val="both"/>
      </w:pPr>
      <w:r>
        <w:rPr>
          <w:rFonts w:ascii="Times New Roman" w:hAnsi="Times New Roman"/>
          <w:b w:val="0"/>
          <w:i w:val="0"/>
          <w:sz w:val="22"/>
        </w:rPr>
        <w:t>La extracción por duplicado, ya adjudicada, permite medir por primera vez qué reporta este cuerpo de evidencia en los cinco desenlaces declarados en los criterios de elegibilidad. La tabla 5 lo resume sobre los 73 brazos del corpus vigente.</w:t>
      </w:r>
    </w:p>
    <w:p>
      <w:pPr>
        <w:jc w:val="both"/>
      </w:pPr>
      <w:r>
        <w:rPr>
          <w:rFonts w:ascii="Times New Roman" w:hAnsi="Times New Roman"/>
          <w:b w:val="0"/>
          <w:i w:val="0"/>
          <w:sz w:val="22"/>
        </w:rP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rFonts w:ascii="Times New Roman" w:hAnsi="Times New Roman"/>
          <w:b w:val="0"/>
          <w:i/>
          <w:sz w:val="22"/>
        </w:rPr>
        <w:t>hoy ningún brazo declara una proporción imposible</w:t>
      </w:r>
      <w:r>
        <w:rPr>
          <w:rFonts w:ascii="Times New Roman" w:hAnsi="Times New Roman"/>
          <w:b w:val="0"/>
          <w:i w:val="0"/>
          <w:sz w:val="22"/>
        </w:rP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pPr>
        <w:jc w:val="both"/>
      </w:pPr>
      <w:r>
        <w:rPr>
          <w:rFonts w:ascii="Times New Roman" w:hAnsi="Times New Roman"/>
          <w:b w:val="0"/>
          <w:i w:val="0"/>
          <w:sz w:val="22"/>
        </w:rPr>
        <w:t xml:space="preserve">Ese 87,7 % es, sin embargo, engañoso si se lee como disponibilidad para agregar. </w:t>
      </w:r>
      <w:r>
        <w:rPr>
          <w:rFonts w:ascii="Times New Roman" w:hAnsi="Times New Roman"/>
          <w:b w:val="0"/>
          <w:i/>
          <w:sz w:val="22"/>
        </w:rPr>
        <w:t>En 43 de los 73 brazos (58,9 %) no consta una definición operativa de éxito clínico</w:t>
      </w:r>
      <w:r>
        <w:rPr>
          <w:rFonts w:ascii="Times New Roman" w:hAnsi="Times New Roman"/>
          <w:b w:val="0"/>
          <w:i w:val="0"/>
          <w:sz w:val="22"/>
        </w:rP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pPr>
        <w:jc w:val="both"/>
      </w:pPr>
      <w:r>
        <w:rPr>
          <w:rFonts w:ascii="Times New Roman" w:hAnsi="Times New Roman"/>
          <w:b w:val="0"/>
          <w:i w:val="0"/>
          <w:sz w:val="22"/>
        </w:rPr>
        <w:t xml:space="preserve">El diseño consta en los 73 brazos: </w:t>
      </w:r>
      <w:r>
        <w:rPr>
          <w:rFonts w:ascii="Times New Roman" w:hAnsi="Times New Roman"/>
          <w:b w:val="0"/>
          <w:i/>
          <w:sz w:val="22"/>
        </w:rPr>
        <w:t>4 brazos son ensayos</w:t>
      </w:r>
      <w:r>
        <w:rPr>
          <w:rFonts w:ascii="Times New Roman" w:hAnsi="Times New Roman"/>
          <w:b w:val="0"/>
          <w:i w:val="0"/>
          <w:sz w:val="22"/>
        </w:rPr>
        <w:t xml:space="preserve"> (aleatorizados o no) y </w:t>
      </w:r>
      <w:r>
        <w:rPr>
          <w:rFonts w:ascii="Times New Roman" w:hAnsi="Times New Roman"/>
          <w:b w:val="0"/>
          <w:i/>
          <w:sz w:val="22"/>
        </w:rPr>
        <w:t>8 son cohortes</w:t>
      </w:r>
      <w:r>
        <w:rPr>
          <w:rFonts w:ascii="Times New Roman" w:hAnsi="Times New Roman"/>
          <w:b w:val="0"/>
          <w:i w:val="0"/>
          <w:sz w:val="22"/>
        </w:rP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pPr>
        <w:jc w:val="both"/>
      </w:pPr>
      <w:r>
        <w:rPr>
          <w:rFonts w:ascii="Times New Roman" w:hAnsi="Times New Roman"/>
          <w:b w:val="0"/>
          <w:i w:val="0"/>
          <w:sz w:val="22"/>
        </w:rPr>
        <w:t xml:space="preserve">Cruzar los requisitos que una proporción agrupada exigiría vacía el corpus paso a paso. Cuatro de esos requisitos son aritméticos —diseño comparativo, numerador, denominador y definición operativa— y dejan </w:t>
      </w:r>
      <w:r>
        <w:rPr>
          <w:rFonts w:ascii="Times New Roman" w:hAnsi="Times New Roman"/>
          <w:b w:val="0"/>
          <w:i/>
          <w:sz w:val="22"/>
        </w:rPr>
        <w:t>2 brazos de los 73</w:t>
      </w:r>
      <w:r>
        <w:rPr>
          <w:rFonts w:ascii="Times New Roman" w:hAnsi="Times New Roman"/>
          <w:b w:val="0"/>
          <w:i w:val="0"/>
          <w:sz w:val="22"/>
        </w:rPr>
        <w:t>. Los dos siguientes son los criterios de elegibilidad que esta misma revisión declara en la sección 2.2, y solo uno de esos 2 los sobrevive.</w:t>
      </w:r>
    </w:p>
    <w:p>
      <w:pPr>
        <w:jc w:val="both"/>
      </w:pPr>
      <w:r>
        <w:rPr>
          <w:rFonts w:ascii="Times New Roman" w:hAnsi="Times New Roman"/>
          <w:b w:val="0"/>
          <w:i w:val="0"/>
          <w:sz w:val="22"/>
        </w:rPr>
        <w:t xml:space="preserve">El primero es que el desenlace pueda atribuirse a </w:t>
      </w:r>
      <w:r>
        <w:rPr>
          <w:rFonts w:ascii="Times New Roman" w:hAnsi="Times New Roman"/>
          <w:b w:val="0"/>
          <w:i/>
          <w:sz w:val="22"/>
        </w:rPr>
        <w:t>P. aeruginosa</w:t>
      </w:r>
      <w:r>
        <w:rPr>
          <w:rFonts w:ascii="Times New Roman" w:hAnsi="Times New Roman"/>
          <w:b w:val="0"/>
          <w:i w:val="0"/>
          <w:sz w:val="22"/>
        </w:rP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pPr>
        <w:jc w:val="both"/>
      </w:pPr>
      <w:r>
        <w:rPr>
          <w:rFonts w:ascii="Times New Roman" w:hAnsi="Times New Roman"/>
          <w:b w:val="0"/>
          <w:i w:val="0"/>
          <w:sz w:val="22"/>
        </w:rPr>
        <w:t xml:space="preserve">Ese último es PhagoBurn, cuyo desenlace principal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no es una proporción, y solo entraría en un metaanálisis de proporciones si el sintetizador la convirtiera en una. </w:t>
      </w:r>
      <w:r>
        <w:rPr>
          <w:rFonts w:ascii="Times New Roman" w:hAnsi="Times New Roman"/>
          <w:b w:val="0"/>
          <w:i/>
          <w:sz w:val="22"/>
        </w:rPr>
        <w:t>No queda ninguno.</w:t>
      </w:r>
    </w:p>
    <w:p>
      <w:pPr>
        <w:jc w:val="both"/>
      </w:pPr>
      <w:r>
        <w:rPr>
          <w:rFonts w:ascii="Times New Roman" w:hAnsi="Times New Roman"/>
          <w:b w:val="0"/>
          <w:i w:val="0"/>
          <w:sz w:val="22"/>
        </w:rPr>
        <w:t xml:space="preserve">Dicho de otro modo: de los 73 brazos de esta literatura, </w:t>
      </w:r>
      <w:r>
        <w:rPr>
          <w:rFonts w:ascii="Times New Roman" w:hAnsi="Times New Roman"/>
          <w:b w:val="0"/>
          <w:i/>
          <w:sz w:val="22"/>
        </w:rPr>
        <w:t>ninguno reúne a la vez las condiciones aritméticas, los criterios de elegibilidad y la métrica que harían de su éxito clínico un sumando legítimo de una proporción agrupada</w:t>
      </w:r>
      <w:r>
        <w:rPr>
          <w:rFonts w:ascii="Times New Roman" w:hAnsi="Times New Roman"/>
          <w:b w:val="0"/>
          <w:i w:val="0"/>
          <w:sz w:val="22"/>
        </w:rPr>
        <w:t>. No es que los estudios disponibles sean pocos: es que no hay ninguno. La tabla 6 recoge el embudo, paso a paso.</w:t>
      </w:r>
    </w:p>
    <w:p>
      <w:pPr>
        <w:spacing w:before="200" w:after="100"/>
      </w:pPr>
      <w:r>
        <w:rPr>
          <w:rFonts w:ascii="Times New Roman" w:hAnsi="Times New Roman"/>
          <w:b/>
          <w:i w:val="0"/>
          <w:sz w:val="22"/>
        </w:rPr>
        <w:t>3.6 Viabilidad de la síntesis cuantitativa</w:t>
      </w:r>
    </w:p>
    <w:p>
      <w:pPr>
        <w:jc w:val="both"/>
      </w:pPr>
      <w:r>
        <w:rPr>
          <w:rFonts w:ascii="Times New Roman" w:hAnsi="Times New Roman"/>
          <w:b w:val="0"/>
          <w:i w:val="0"/>
          <w:sz w:val="22"/>
        </w:rPr>
        <w:t>Un metaanálisis de proporciones exige denominadores interpretables, un desenlace que nombre lo mismo en todos los estudios y una intervención suficientemente homogénea. El cuerpo delimitado aquí falla en los tres requisitos.</w:t>
      </w:r>
    </w:p>
    <w:p>
      <w:pPr>
        <w:jc w:val="both"/>
      </w:pPr>
      <w:r>
        <w:rPr>
          <w:rFonts w:ascii="Times New Roman" w:hAnsi="Times New Roman"/>
          <w:b w:val="0"/>
          <w:i/>
          <w:sz w:val="22"/>
        </w:rPr>
        <w:t>Denominadores.</w:t>
      </w:r>
      <w:r>
        <w:rPr>
          <w:rFonts w:ascii="Times New Roman" w:hAnsi="Times New Roman"/>
          <w:b w:val="0"/>
          <w:i w:val="0"/>
          <w:sz w:val="22"/>
        </w:rP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pPr>
        <w:jc w:val="both"/>
      </w:pPr>
      <w:r>
        <w:rPr>
          <w:rFonts w:ascii="Times New Roman" w:hAnsi="Times New Roman"/>
          <w:b w:val="0"/>
          <w:i/>
          <w:sz w:val="22"/>
        </w:rPr>
        <w:t>Desenlace.</w:t>
      </w:r>
      <w:r>
        <w:rPr>
          <w:rFonts w:ascii="Times New Roman" w:hAnsi="Times New Roman"/>
          <w:b w:val="0"/>
          <w:i w:val="0"/>
          <w:sz w:val="22"/>
        </w:rPr>
        <w:t xml:space="preserve"> En los artículos del corpus, «éxito clínico» no nombra la misma cosa ni mide en la misma escala. En un extremo, la curación clínica compuesta a largo plazo: ausencia de aflojamiento del implante y deambulación sin dolor a los 21 meses (20). En el otro, criterios de alta hospitalaria: paciente dado de alta, decanulado y rehabilitado (4). Y entre medias, la etiqueta sin criterio: «buen desenlace clínico» declarado por los autores como binario, sin decir qué había que observar (21).</w:t>
      </w:r>
    </w:p>
    <w:p>
      <w:pPr>
        <w:jc w:val="both"/>
      </w:pPr>
      <w:r>
        <w:rPr>
          <w:rFonts w:ascii="Times New Roman" w:hAnsi="Times New Roman"/>
          <w:b w:val="0"/>
          <w:i w:val="0"/>
          <w:sz w:val="22"/>
        </w:rPr>
        <w:t xml:space="preserve">El problema no es solo de heterogeneidad. </w:t>
      </w:r>
      <w:r>
        <w:rPr>
          <w:rFonts w:ascii="Times New Roman" w:hAnsi="Times New Roman"/>
          <w:b w:val="0"/>
          <w:i/>
          <w:sz w:val="22"/>
        </w:rPr>
        <w:t>Los 2 ensayos aleatorizados del corpus no reportan una proporción binaria de éxito en absoluto</w:t>
      </w:r>
      <w:r>
        <w:rPr>
          <w:rFonts w:ascii="Times New Roman" w:hAnsi="Times New Roman"/>
          <w:b w:val="0"/>
          <w:i w:val="0"/>
          <w:sz w:val="22"/>
        </w:rPr>
        <w:t xml:space="preserve">: el desenlace principal de PhagoBurn es el </w:t>
      </w:r>
      <w:r>
        <w:rPr>
          <w:rFonts w:ascii="Times New Roman" w:hAnsi="Times New Roman"/>
          <w:b w:val="0"/>
          <w:i/>
          <w:sz w:val="22"/>
        </w:rPr>
        <w:t>tiempo</w:t>
      </w:r>
      <w:r>
        <w:rPr>
          <w:rFonts w:ascii="Times New Roman" w:hAnsi="Times New Roman"/>
          <w:b w:val="0"/>
          <w:i w:val="0"/>
          <w:sz w:val="22"/>
        </w:rPr>
        <w:t xml:space="preserve"> hasta una reducción sostenida de la carga bacteriana (17), y el de BX004-A es una variable </w:t>
      </w:r>
      <w:r>
        <w:rPr>
          <w:rFonts w:ascii="Times New Roman" w:hAnsi="Times New Roman"/>
          <w:b w:val="0"/>
          <w:i/>
          <w:sz w:val="22"/>
        </w:rPr>
        <w:t>continua</w:t>
      </w:r>
      <w:r>
        <w:rPr>
          <w:rFonts w:ascii="Times New Roman" w:hAnsi="Times New Roman"/>
          <w:b w:val="0"/>
          <w:i w:val="0"/>
          <w:sz w:val="22"/>
        </w:rPr>
        <w:t>, la reducción media de UFC en escala logarítmica al día 15 (18). Un metaanálisis de proporciones no puede incluirlos sin convertir en binario lo que sus autores midieron de otra forma, y esa conversión la haría el sintetizador, no el estudio.</w:t>
      </w:r>
    </w:p>
    <w:p>
      <w:pPr>
        <w:jc w:val="both"/>
      </w:pPr>
      <w:r>
        <w:rPr>
          <w:rFonts w:ascii="Times New Roman" w:hAnsi="Times New Roman"/>
          <w:b w:val="0"/>
          <w:i w:val="0"/>
          <w:sz w:val="22"/>
        </w:rPr>
        <w:t xml:space="preserve">Estas definiciones proceden de los textos completos, no de la pre-extracción desde resúmenes: </w:t>
      </w:r>
      <w:r>
        <w:rPr>
          <w:rFonts w:ascii="Times New Roman" w:hAnsi="Times New Roman"/>
          <w:b w:val="0"/>
          <w:i/>
          <w:sz w:val="22"/>
        </w:rPr>
        <w:t>ningún resumen del corpus declara la definición de éxito clínico</w:t>
      </w:r>
      <w:r>
        <w:rPr>
          <w:rFonts w:ascii="Times New Roman" w:hAnsi="Times New Roman"/>
          <w:b w:val="0"/>
          <w:i w:val="0"/>
          <w:sz w:val="22"/>
        </w:rPr>
        <w:t>, lo que es en sí mismo un dato sobre el reporte del campo.</w:t>
      </w:r>
    </w:p>
    <w:p>
      <w:pPr>
        <w:jc w:val="both"/>
      </w:pPr>
      <w:r>
        <w:rPr>
          <w:rFonts w:ascii="Times New Roman" w:hAnsi="Times New Roman"/>
          <w:b w:val="0"/>
          <w:i/>
          <w:sz w:val="22"/>
        </w:rPr>
        <w:t>Intervención.</w:t>
      </w:r>
      <w:r>
        <w:rPr>
          <w:rFonts w:ascii="Times New Roman" w:hAnsi="Times New Roman"/>
          <w:b w:val="0"/>
          <w:i w:val="0"/>
          <w:sz w:val="22"/>
        </w:rP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pPr>
        <w:jc w:val="both"/>
      </w:pPr>
      <w:r>
        <w:rPr>
          <w:rFonts w:ascii="Times New Roman" w:hAnsi="Times New Roman"/>
          <w:b w:val="0"/>
          <w:i w:val="0"/>
          <w:sz w:val="22"/>
        </w:rPr>
        <w:t xml:space="preserve">A ello se añade el efecto del criterio del texto completo documentado en la sección 3.2: 7 de los 9 diseños comparativos que el corpus habría podido aportar a una síntesis quedaron fuera de él. </w:t>
      </w:r>
      <w:r>
        <w:rPr>
          <w:rFonts w:ascii="Times New Roman" w:hAnsi="Times New Roman"/>
          <w:b w:val="0"/>
          <w:i/>
          <w:sz w:val="22"/>
        </w:rPr>
        <w:t>Por estas razones no se presenta ninguna proporción agrupada de eficacia</w:t>
      </w:r>
      <w:r>
        <w:rPr>
          <w:rFonts w:ascii="Times New Roman" w:hAnsi="Times New Roman"/>
          <w:b w:val="0"/>
          <w:i w:val="0"/>
          <w:sz w:val="22"/>
        </w:rPr>
        <w:t>, y se sostiene que las publicadas en revisiones previas descansan sobre supuestos que estos datos no verifican.</w:t>
      </w:r>
    </w:p>
    <w:p>
      <w:pPr>
        <w:spacing w:before="200" w:after="100"/>
      </w:pPr>
      <w:r>
        <w:rPr>
          <w:rFonts w:ascii="Times New Roman" w:hAnsi="Times New Roman"/>
          <w:b/>
          <w:i w:val="0"/>
          <w:sz w:val="22"/>
        </w:rPr>
        <w:t>3.7 Riesgo de sesgo de los estudios comparativos</w:t>
      </w:r>
    </w:p>
    <w:p>
      <w:pPr>
        <w:jc w:val="both"/>
      </w:pPr>
      <w:r>
        <w:rPr>
          <w:rFonts w:ascii="Times New Roman" w:hAnsi="Times New Roman"/>
          <w:b w:val="0"/>
          <w:i w:val="0"/>
          <w:sz w:val="22"/>
        </w:rP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pPr>
        <w:jc w:val="both"/>
      </w:pPr>
      <w:r>
        <w:rPr>
          <w:rFonts w:ascii="Times New Roman" w:hAnsi="Times New Roman"/>
          <w:b w:val="0"/>
          <w:i w:val="0"/>
          <w:sz w:val="22"/>
        </w:rP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rFonts w:ascii="Times New Roman" w:hAnsi="Times New Roman"/>
          <w:b w:val="0"/>
          <w:i/>
          <w:sz w:val="22"/>
        </w:rPr>
        <w:t>P. aeruginosa</w:t>
      </w:r>
      <w:r>
        <w:rPr>
          <w:rFonts w:ascii="Times New Roman" w:hAnsi="Times New Roman"/>
          <w:b w:val="0"/>
          <w:i w:val="0"/>
          <w:sz w:val="22"/>
        </w:rPr>
        <w:t xml:space="preserve"> (EST-008 y EST-021; el de EST-008, parcial).</w:t>
      </w:r>
    </w:p>
    <w:p>
      <w:pPr>
        <w:spacing w:before="240" w:after="100" w:line="240" w:lineRule="auto"/>
      </w:pPr>
      <w:r>
        <w:rPr>
          <w:rFonts w:ascii="Times New Roman" w:hAnsi="Times New Roman"/>
          <w:b w:val="0"/>
          <w:i/>
          <w:sz w:val="18"/>
        </w:rPr>
        <w:t>Tabla 7.</w:t>
      </w:r>
      <w:r>
        <w:rPr>
          <w:rFonts w:ascii="Times New Roman" w:hAnsi="Times New Roman"/>
          <w:b w:val="0"/>
          <w:i w:val="0"/>
          <w:sz w:val="18"/>
        </w:rP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821"/>
          </w:tcPr>
          <w:p>
            <w:r/>
            <w:r>
              <w:rPr>
                <w:rFonts w:ascii="Times New Roman" w:hAnsi="Times New Roman"/>
                <w:b/>
                <w:i w:val="0"/>
                <w:sz w:val="18"/>
              </w:rPr>
              <w:t>Estudio</w:t>
            </w:r>
          </w:p>
        </w:tc>
        <w:tc>
          <w:tcPr>
            <w:tcW w:type="dxa" w:w="821"/>
          </w:tcPr>
          <w:p>
            <w:r/>
            <w:r>
              <w:rPr>
                <w:rFonts w:ascii="Times New Roman" w:hAnsi="Times New Roman"/>
                <w:b/>
                <w:i w:val="0"/>
                <w:sz w:val="18"/>
              </w:rPr>
              <w:t>Diseño</w:t>
            </w:r>
          </w:p>
        </w:tc>
        <w:tc>
          <w:tcPr>
            <w:tcW w:type="dxa" w:w="821"/>
          </w:tcPr>
          <w:p>
            <w:r/>
            <w:r>
              <w:rPr>
                <w:rFonts w:ascii="Times New Roman" w:hAnsi="Times New Roman"/>
                <w:b/>
                <w:i w:val="0"/>
                <w:sz w:val="18"/>
              </w:rPr>
              <w:t>Herramienta</w:t>
            </w:r>
          </w:p>
        </w:tc>
        <w:tc>
          <w:tcPr>
            <w:tcW w:type="dxa" w:w="821"/>
          </w:tcPr>
          <w:p>
            <w:r/>
            <w:r>
              <w:rPr>
                <w:rFonts w:ascii="Times New Roman" w:hAnsi="Times New Roman"/>
                <w:b/>
                <w:i w:val="0"/>
                <w:sz w:val="18"/>
              </w:rPr>
              <w:t>D1</w:t>
            </w:r>
          </w:p>
        </w:tc>
        <w:tc>
          <w:tcPr>
            <w:tcW w:type="dxa" w:w="821"/>
          </w:tcPr>
          <w:p>
            <w:r/>
            <w:r>
              <w:rPr>
                <w:rFonts w:ascii="Times New Roman" w:hAnsi="Times New Roman"/>
                <w:b/>
                <w:i w:val="0"/>
                <w:sz w:val="18"/>
              </w:rPr>
              <w:t>D2</w:t>
            </w:r>
          </w:p>
        </w:tc>
        <w:tc>
          <w:tcPr>
            <w:tcW w:type="dxa" w:w="821"/>
          </w:tcPr>
          <w:p>
            <w:r/>
            <w:r>
              <w:rPr>
                <w:rFonts w:ascii="Times New Roman" w:hAnsi="Times New Roman"/>
                <w:b/>
                <w:i w:val="0"/>
                <w:sz w:val="18"/>
              </w:rPr>
              <w:t>D3</w:t>
            </w:r>
          </w:p>
        </w:tc>
        <w:tc>
          <w:tcPr>
            <w:tcW w:type="dxa" w:w="821"/>
          </w:tcPr>
          <w:p>
            <w:r/>
            <w:r>
              <w:rPr>
                <w:rFonts w:ascii="Times New Roman" w:hAnsi="Times New Roman"/>
                <w:b/>
                <w:i w:val="0"/>
                <w:sz w:val="18"/>
              </w:rPr>
              <w:t>D4</w:t>
            </w:r>
          </w:p>
        </w:tc>
        <w:tc>
          <w:tcPr>
            <w:tcW w:type="dxa" w:w="821"/>
          </w:tcPr>
          <w:p>
            <w:r/>
            <w:r>
              <w:rPr>
                <w:rFonts w:ascii="Times New Roman" w:hAnsi="Times New Roman"/>
                <w:b/>
                <w:i w:val="0"/>
                <w:sz w:val="18"/>
              </w:rPr>
              <w:t>D5</w:t>
            </w:r>
          </w:p>
        </w:tc>
        <w:tc>
          <w:tcPr>
            <w:tcW w:type="dxa" w:w="821"/>
          </w:tcPr>
          <w:p>
            <w:r/>
            <w:r>
              <w:rPr>
                <w:rFonts w:ascii="Times New Roman" w:hAnsi="Times New Roman"/>
                <w:b/>
                <w:i w:val="0"/>
                <w:sz w:val="18"/>
              </w:rPr>
              <w:t>D6</w:t>
            </w:r>
          </w:p>
        </w:tc>
        <w:tc>
          <w:tcPr>
            <w:tcW w:type="dxa" w:w="821"/>
          </w:tcPr>
          <w:p>
            <w:r/>
            <w:r>
              <w:rPr>
                <w:rFonts w:ascii="Times New Roman" w:hAnsi="Times New Roman"/>
                <w:b/>
                <w:i w:val="0"/>
                <w:sz w:val="18"/>
              </w:rPr>
              <w:t>D7</w:t>
            </w:r>
          </w:p>
        </w:tc>
        <w:tc>
          <w:tcPr>
            <w:tcW w:type="dxa" w:w="821"/>
          </w:tcPr>
          <w:p>
            <w:r/>
            <w:r>
              <w:rPr>
                <w:rFonts w:ascii="Times New Roman" w:hAnsi="Times New Roman"/>
                <w:b/>
                <w:i w:val="0"/>
                <w:sz w:val="18"/>
              </w:rPr>
              <w:t>Juicio global</w:t>
            </w:r>
          </w:p>
        </w:tc>
      </w:tr>
      <w:tr>
        <w:tc>
          <w:tcPr>
            <w:tcW w:type="dxa" w:w="821"/>
          </w:tcPr>
          <w:p>
            <w:r/>
            <w:r>
              <w:rPr>
                <w:rFonts w:ascii="Times New Roman" w:hAnsi="Times New Roman"/>
                <w:b w:val="0"/>
                <w:i w:val="0"/>
                <w:sz w:val="18"/>
              </w:rPr>
              <w:t>EST-008</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Bajo</w:t>
            </w:r>
          </w:p>
        </w:tc>
      </w:tr>
      <w:tr>
        <w:tc>
          <w:tcPr>
            <w:tcW w:type="dxa" w:w="821"/>
          </w:tcPr>
          <w:p>
            <w:r/>
            <w:r>
              <w:rPr>
                <w:rFonts w:ascii="Times New Roman" w:hAnsi="Times New Roman"/>
                <w:b w:val="0"/>
                <w:i w:val="0"/>
                <w:sz w:val="18"/>
              </w:rPr>
              <w:t>EST-021</w:t>
            </w:r>
          </w:p>
        </w:tc>
        <w:tc>
          <w:tcPr>
            <w:tcW w:type="dxa" w:w="821"/>
          </w:tcPr>
          <w:p>
            <w:r/>
            <w:r>
              <w:rPr>
                <w:rFonts w:ascii="Times New Roman" w:hAnsi="Times New Roman"/>
                <w:b w:val="0"/>
                <w:i w:val="0"/>
                <w:sz w:val="18"/>
              </w:rPr>
              <w:t>RCT</w:t>
            </w:r>
          </w:p>
        </w:tc>
        <w:tc>
          <w:tcPr>
            <w:tcW w:type="dxa" w:w="821"/>
          </w:tcPr>
          <w:p>
            <w:r/>
            <w:r>
              <w:rPr>
                <w:rFonts w:ascii="Times New Roman" w:hAnsi="Times New Roman"/>
                <w:b w:val="0"/>
                <w:i w:val="0"/>
                <w:sz w:val="18"/>
              </w:rPr>
              <w:t>RoB 2</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Algunas preocupaciones</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n. a.</w:t>
            </w:r>
          </w:p>
        </w:tc>
        <w:tc>
          <w:tcPr>
            <w:tcW w:type="dxa" w:w="821"/>
          </w:tcPr>
          <w:p>
            <w:r/>
            <w:r>
              <w:rPr>
                <w:rFonts w:ascii="Times New Roman" w:hAnsi="Times New Roman"/>
                <w:b w:val="0"/>
                <w:i w:val="0"/>
                <w:sz w:val="18"/>
              </w:rPr>
              <w:t>Algunas preocupaciones</w:t>
            </w:r>
          </w:p>
        </w:tc>
      </w:tr>
      <w:tr>
        <w:tc>
          <w:tcPr>
            <w:tcW w:type="dxa" w:w="821"/>
          </w:tcPr>
          <w:p>
            <w:r/>
            <w:r>
              <w:rPr>
                <w:rFonts w:ascii="Times New Roman" w:hAnsi="Times New Roman"/>
                <w:b w:val="0"/>
                <w:i w:val="0"/>
                <w:sz w:val="18"/>
              </w:rPr>
              <w:t>EST-004</w:t>
            </w:r>
          </w:p>
        </w:tc>
        <w:tc>
          <w:tcPr>
            <w:tcW w:type="dxa" w:w="821"/>
          </w:tcPr>
          <w:p>
            <w:r/>
            <w:r>
              <w:rPr>
                <w:rFonts w:ascii="Times New Roman" w:hAnsi="Times New Roman"/>
                <w:b w:val="0"/>
                <w:i w:val="0"/>
                <w:sz w:val="18"/>
              </w:rPr>
              <w:t>prospective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EST-070</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EST-096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EST-108</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EST-116</w:t>
            </w:r>
          </w:p>
        </w:tc>
        <w:tc>
          <w:tcPr>
            <w:tcW w:type="dxa" w:w="821"/>
          </w:tcPr>
          <w:p>
            <w:r/>
            <w:r>
              <w:rPr>
                <w:rFonts w:ascii="Times New Roman" w:hAnsi="Times New Roman"/>
                <w:b w:val="0"/>
                <w:i w:val="0"/>
                <w:sz w:val="18"/>
              </w:rPr>
              <w:t>non-randomised trial</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Sin información</w:t>
            </w:r>
          </w:p>
        </w:tc>
      </w:tr>
      <w:tr>
        <w:tc>
          <w:tcPr>
            <w:tcW w:type="dxa" w:w="821"/>
          </w:tcPr>
          <w:p>
            <w:r/>
            <w:r>
              <w:rPr>
                <w:rFonts w:ascii="Times New Roman" w:hAnsi="Times New Roman"/>
                <w:b w:val="0"/>
                <w:i w:val="0"/>
                <w:sz w:val="18"/>
              </w:rPr>
              <w:t>EST-146</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r>
        <w:tc>
          <w:tcPr>
            <w:tcW w:type="dxa" w:w="821"/>
          </w:tcPr>
          <w:p>
            <w:r/>
            <w:r>
              <w:rPr>
                <w:rFonts w:ascii="Times New Roman" w:hAnsi="Times New Roman"/>
                <w:b w:val="0"/>
                <w:i w:val="0"/>
                <w:sz w:val="18"/>
              </w:rPr>
              <w:t>EST-152</w:t>
            </w:r>
          </w:p>
        </w:tc>
        <w:tc>
          <w:tcPr>
            <w:tcW w:type="dxa" w:w="821"/>
          </w:tcPr>
          <w:p>
            <w:r/>
            <w:r>
              <w:rPr>
                <w:rFonts w:ascii="Times New Roman" w:hAnsi="Times New Roman"/>
                <w:b w:val="0"/>
                <w:i w:val="0"/>
                <w:sz w:val="18"/>
              </w:rPr>
              <w:t>retrospective cohort</w:t>
            </w:r>
          </w:p>
        </w:tc>
        <w:tc>
          <w:tcPr>
            <w:tcW w:type="dxa" w:w="821"/>
          </w:tcPr>
          <w:p>
            <w:r/>
            <w:r>
              <w:rPr>
                <w:rFonts w:ascii="Times New Roman" w:hAnsi="Times New Roman"/>
                <w:b w:val="0"/>
                <w:i w:val="0"/>
                <w:sz w:val="18"/>
              </w:rPr>
              <w:t>ROBINS-I</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Bajo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c>
          <w:tcPr>
            <w:tcW w:type="dxa" w:w="821"/>
          </w:tcPr>
          <w:p>
            <w:r/>
            <w:r>
              <w:rPr>
                <w:rFonts w:ascii="Times New Roman" w:hAnsi="Times New Roman"/>
                <w:b w:val="0"/>
                <w:i w:val="0"/>
                <w:sz w:val="18"/>
              </w:rPr>
              <w:t>Moderado</w:t>
            </w:r>
          </w:p>
        </w:tc>
        <w:tc>
          <w:tcPr>
            <w:tcW w:type="dxa" w:w="821"/>
          </w:tcPr>
          <w:p>
            <w:r/>
            <w:r>
              <w:rPr>
                <w:rFonts w:ascii="Times New Roman" w:hAnsi="Times New Roman"/>
                <w:b w:val="0"/>
                <w:i w:val="0"/>
                <w:sz w:val="18"/>
              </w:rPr>
              <w:t>Grave</w:t>
            </w:r>
          </w:p>
        </w:tc>
      </w:tr>
    </w:tbl>
    <w:p/>
    <w:p>
      <w:pPr>
        <w:spacing w:before="280" w:after="140"/>
      </w:pPr>
      <w:r>
        <w:rPr>
          <w:rFonts w:ascii="Times New Roman" w:hAnsi="Times New Roman"/>
          <w:b/>
          <w:i w:val="0"/>
          <w:sz w:val="24"/>
        </w:rPr>
        <w:t>4. Discusión</w:t>
      </w:r>
    </w:p>
    <w:p>
      <w:pPr>
        <w:spacing w:before="200" w:after="100"/>
      </w:pPr>
      <w:r>
        <w:rPr>
          <w:rFonts w:ascii="Times New Roman" w:hAnsi="Times New Roman"/>
          <w:b/>
          <w:i w:val="0"/>
          <w:sz w:val="22"/>
        </w:rPr>
        <w:t>4.1 Hallazgos principales</w:t>
      </w:r>
    </w:p>
    <w:p>
      <w:pPr>
        <w:jc w:val="both"/>
      </w:pPr>
      <w:r>
        <w:rPr>
          <w:rFonts w:ascii="Times New Roman" w:hAnsi="Times New Roman"/>
          <w:b w:val="0"/>
          <w:i w:val="0"/>
          <w:sz w:val="22"/>
        </w:rPr>
        <w:t xml:space="preserve">Esta revisión delimita 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pPr>
        <w:jc w:val="both"/>
      </w:pPr>
      <w:r>
        <w:rPr>
          <w:rFonts w:ascii="Times New Roman" w:hAnsi="Times New Roman"/>
          <w:b w:val="0"/>
          <w:i w:val="0"/>
          <w:sz w:val="22"/>
        </w:rPr>
        <w:t xml:space="preserve">El resultado central es negativo y conviene enunciarlo sin rodeos: </w:t>
      </w:r>
      <w:r>
        <w:rPr>
          <w:rFonts w:ascii="Times New Roman" w:hAnsi="Times New Roman"/>
          <w:b w:val="0"/>
          <w:i/>
          <w:sz w:val="22"/>
        </w:rPr>
        <w:t>la amplitud del cuerpo de evidencia no se traduce en capacidad de síntesis</w:t>
      </w:r>
      <w:r>
        <w:rPr>
          <w:rFonts w:ascii="Times New Roman" w:hAnsi="Times New Roman"/>
          <w:b w:val="0"/>
          <w:i w:val="0"/>
          <w:sz w:val="22"/>
        </w:rP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spacing w:before="200" w:after="100"/>
      </w:pPr>
      <w:r>
        <w:rPr>
          <w:rFonts w:ascii="Times New Roman" w:hAnsi="Times New Roman"/>
          <w:b/>
          <w:i w:val="0"/>
          <w:sz w:val="22"/>
        </w:rPr>
        <w:t>4.2 Comparación con la literatura previa</w:t>
      </w:r>
    </w:p>
    <w:p>
      <w:pPr>
        <w:jc w:val="both"/>
      </w:pPr>
      <w:r>
        <w:rPr>
          <w:rFonts w:ascii="Times New Roman" w:hAnsi="Times New Roman"/>
          <w:b w:val="0"/>
          <w:i w:val="0"/>
          <w:sz w:val="22"/>
        </w:rPr>
        <w:t>Las revisiones recientes han reportado proporciones globales de éxito clínico que superan sistemáticamente el 80 % (6,7).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pPr>
        <w:jc w:val="both"/>
      </w:pPr>
      <w:r>
        <w:rPr>
          <w:rFonts w:ascii="Times New Roman" w:hAnsi="Times New Roman"/>
          <w:b w:val="0"/>
          <w:i w:val="0"/>
          <w:sz w:val="22"/>
        </w:rP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spacing w:before="200" w:after="100"/>
      </w:pPr>
      <w:r>
        <w:rPr>
          <w:rFonts w:ascii="Times New Roman" w:hAnsi="Times New Roman"/>
          <w:b/>
          <w:i w:val="0"/>
          <w:sz w:val="22"/>
        </w:rPr>
        <w:t>4.3 Implicaciones</w:t>
      </w:r>
    </w:p>
    <w:p>
      <w:pPr>
        <w:jc w:val="both"/>
      </w:pPr>
      <w:r>
        <w:rPr>
          <w:rFonts w:ascii="Times New Roman" w:hAnsi="Times New Roman"/>
          <w:b w:val="0"/>
          <w:i/>
          <w:sz w:val="22"/>
        </w:rPr>
        <w:t>Para la práctica clínica.</w:t>
      </w:r>
      <w:r>
        <w:rPr>
          <w:rFonts w:ascii="Times New Roman" w:hAnsi="Times New Roman"/>
          <w:b w:val="0"/>
          <w:i w:val="0"/>
          <w:sz w:val="22"/>
        </w:rPr>
        <w:t xml:space="preserve"> Ninguna proporción publicada de éxito de la fagoterapia en </w:t>
      </w:r>
      <w:r>
        <w:rPr>
          <w:rFonts w:ascii="Times New Roman" w:hAnsi="Times New Roman"/>
          <w:b w:val="0"/>
          <w:i/>
          <w:sz w:val="22"/>
        </w:rPr>
        <w:t>P. aeruginosa</w:t>
      </w:r>
      <w:r>
        <w:rPr>
          <w:rFonts w:ascii="Times New Roman" w:hAnsi="Times New Roman"/>
          <w:b w:val="0"/>
          <w:i w:val="0"/>
          <w:sz w:val="22"/>
        </w:rP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pPr>
        <w:jc w:val="both"/>
      </w:pPr>
      <w:r>
        <w:rPr>
          <w:rFonts w:ascii="Times New Roman" w:hAnsi="Times New Roman"/>
          <w:b w:val="0"/>
          <w:i/>
          <w:sz w:val="22"/>
        </w:rPr>
        <w:t>Para la investigación.</w:t>
      </w:r>
      <w:r>
        <w:rPr>
          <w:rFonts w:ascii="Times New Roman" w:hAnsi="Times New Roman"/>
          <w:b w:val="0"/>
          <w:i w:val="0"/>
          <w:sz w:val="22"/>
        </w:rP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pPr>
        <w:jc w:val="both"/>
      </w:pPr>
      <w:r>
        <w:rPr>
          <w:rFonts w:ascii="Times New Roman" w:hAnsi="Times New Roman"/>
          <w:b w:val="0"/>
          <w:i/>
          <w:sz w:val="22"/>
        </w:rPr>
        <w:t>Para los registros.</w:t>
      </w:r>
      <w:r>
        <w:rPr>
          <w:rFonts w:ascii="Times New Roman" w:hAnsi="Times New Roman"/>
          <w:b w:val="0"/>
          <w:i w:val="0"/>
          <w:sz w:val="22"/>
        </w:rP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spacing w:before="200" w:after="100"/>
      </w:pPr>
      <w:r>
        <w:rPr>
          <w:rFonts w:ascii="Times New Roman" w:hAnsi="Times New Roman"/>
          <w:b/>
          <w:i w:val="0"/>
          <w:sz w:val="22"/>
        </w:rPr>
        <w:t>4.4 Fortalezas y limitaciones</w:t>
      </w:r>
    </w:p>
    <w:p>
      <w:pPr>
        <w:jc w:val="both"/>
      </w:pPr>
      <w:r>
        <w:rPr>
          <w:rFonts w:ascii="Times New Roman" w:hAnsi="Times New Roman"/>
          <w:b w:val="0"/>
          <w:i/>
          <w:sz w:val="22"/>
        </w:rPr>
        <w:t>Fortalezas.</w:t>
      </w:r>
      <w:r>
        <w:rPr>
          <w:rFonts w:ascii="Times New Roman" w:hAnsi="Times New Roman"/>
          <w:b w:val="0"/>
          <w:i w:val="0"/>
          <w:sz w:val="22"/>
        </w:rP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pPr>
        <w:jc w:val="both"/>
      </w:pPr>
      <w:r>
        <w:rPr>
          <w:rFonts w:ascii="Times New Roman" w:hAnsi="Times New Roman"/>
          <w:b w:val="0"/>
          <w:i/>
          <w:sz w:val="22"/>
        </w:rPr>
        <w:t>Limitaciones.</w:t>
      </w:r>
      <w:r>
        <w:rPr>
          <w:rFonts w:ascii="Times New Roman" w:hAnsi="Times New Roman"/>
          <w:b w:val="0"/>
          <w:i w:val="0"/>
          <w:sz w:val="22"/>
        </w:rPr>
        <w:t xml:space="preserve"> Son ocho y todas materiales. </w:t>
      </w:r>
      <w:r>
        <w:rPr>
          <w:rFonts w:ascii="Times New Roman" w:hAnsi="Times New Roman"/>
          <w:b w:val="0"/>
          <w:i/>
          <w:sz w:val="22"/>
        </w:rPr>
        <w:t>Primera:</w:t>
      </w:r>
      <w:r>
        <w:rPr>
          <w:rFonts w:ascii="Times New Roman" w:hAnsi="Times New Roman"/>
          <w:b w:val="0"/>
          <w:i w:val="0"/>
          <w:sz w:val="22"/>
        </w:rP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rFonts w:ascii="Times New Roman" w:hAnsi="Times New Roman"/>
          <w:b w:val="0"/>
          <w:i/>
          <w:sz w:val="22"/>
        </w:rPr>
        <w:t>Segunda:</w:t>
      </w:r>
      <w:r>
        <w:rPr>
          <w:rFonts w:ascii="Times New Roman" w:hAnsi="Times New Roman"/>
          <w:b w:val="0"/>
          <w:i w:val="0"/>
          <w:sz w:val="22"/>
        </w:rP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rFonts w:ascii="Times New Roman" w:hAnsi="Times New Roman"/>
          <w:b w:val="0"/>
          <w:i/>
          <w:sz w:val="22"/>
        </w:rPr>
        <w:t>Tercera:</w:t>
      </w:r>
      <w:r>
        <w:rPr>
          <w:rFonts w:ascii="Times New Roman" w:hAnsi="Times New Roman"/>
          <w:b w:val="0"/>
          <w:i w:val="0"/>
          <w:sz w:val="22"/>
        </w:rPr>
        <w:t xml:space="preserve"> la búsqueda no interrogó Embase ni el ICTRP de la OMS, lo que reduce la cobertura de series de casos y resúmenes de congreso y deja la corriente de registros limitada a Estados Unidos y la Unión Europea. </w:t>
      </w:r>
      <w:r>
        <w:rPr>
          <w:rFonts w:ascii="Times New Roman" w:hAnsi="Times New Roman"/>
          <w:b w:val="0"/>
          <w:i/>
          <w:sz w:val="22"/>
        </w:rPr>
        <w:t>Cuarta:</w:t>
      </w:r>
      <w:r>
        <w:rPr>
          <w:rFonts w:ascii="Times New Roman" w:hAnsi="Times New Roman"/>
          <w:b w:val="0"/>
          <w:i w:val="0"/>
          <w:sz w:val="22"/>
        </w:rPr>
        <w:t xml:space="preserve"> se limitó a publicaciones de 2016 a 2026, de modo que describe la producción reciente y no el campo entero. </w:t>
      </w:r>
      <w:r>
        <w:rPr>
          <w:rFonts w:ascii="Times New Roman" w:hAnsi="Times New Roman"/>
          <w:b w:val="0"/>
          <w:i/>
          <w:sz w:val="22"/>
        </w:rPr>
        <w:t>Quinta:</w:t>
      </w:r>
      <w:r>
        <w:rPr>
          <w:rFonts w:ascii="Times New Roman" w:hAnsi="Times New Roman"/>
          <w:b w:val="0"/>
          <w:i w:val="0"/>
          <w:sz w:val="22"/>
        </w:rP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rFonts w:ascii="Times New Roman" w:hAnsi="Times New Roman"/>
          <w:b w:val="0"/>
          <w:i/>
          <w:sz w:val="22"/>
        </w:rPr>
        <w:t>Sexta:</w:t>
      </w:r>
      <w:r>
        <w:rPr>
          <w:rFonts w:ascii="Times New Roman" w:hAnsi="Times New Roman"/>
          <w:b w:val="0"/>
          <w:i w:val="0"/>
          <w:sz w:val="22"/>
        </w:rP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rFonts w:ascii="Times New Roman" w:hAnsi="Times New Roman"/>
          <w:b w:val="0"/>
          <w:i/>
          <w:sz w:val="22"/>
        </w:rPr>
        <w:t>Séptima:</w:t>
      </w:r>
      <w:r>
        <w:rPr>
          <w:rFonts w:ascii="Times New Roman" w:hAnsi="Times New Roman"/>
          <w:b w:val="0"/>
          <w:i w:val="0"/>
          <w:sz w:val="22"/>
        </w:rPr>
        <w:t xml:space="preserve"> la restricción a inglés y español se adoptó con el cribado ya terminado y eliminó 35 estudios en el cribado de resúmenes, 18 de ellos comparativos y uno del conjunto de control positivo, y 4 más al leer el texto completo; otros 3 salieron porque su idioma no pudo verificarse; empuja el corpus en la misma dirección que el sesgo de recuperación y reduce lo que esta revisión puede decir sobre la literatura de Europa del Este. </w:t>
      </w:r>
      <w:r>
        <w:rPr>
          <w:rFonts w:ascii="Times New Roman" w:hAnsi="Times New Roman"/>
          <w:b w:val="0"/>
          <w:i/>
          <w:sz w:val="22"/>
        </w:rPr>
        <w:t>Octava:</w:t>
      </w:r>
      <w:r>
        <w:rPr>
          <w:rFonts w:ascii="Times New Roman" w:hAnsi="Times New Roman"/>
          <w:b w:val="0"/>
          <w:i w:val="0"/>
          <w:sz w:val="22"/>
        </w:rPr>
        <w:t xml:space="preserve"> el corpus cuenta informes y estudios, no pacientes distintos, y contiene </w:t>
      </w:r>
      <w:r>
        <w:rPr>
          <w:rFonts w:ascii="Times New Roman" w:hAnsi="Times New Roman"/>
          <w:b w:val="0"/>
          <w:i/>
          <w:sz w:val="22"/>
        </w:rPr>
        <w:t>20 pacientes descritos en más de un estudio</w:t>
      </w:r>
      <w:r>
        <w:rPr>
          <w:rFonts w:ascii="Times New Roman" w:hAnsi="Times New Roman"/>
          <w:b w:val="0"/>
          <w:i w:val="0"/>
          <w:sz w:val="22"/>
        </w:rP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rFonts w:ascii="Times New Roman" w:hAnsi="Times New Roman"/>
          <w:b w:val="0"/>
          <w:i/>
          <w:sz w:val="22"/>
        </w:rPr>
        <w:t>7 son estudios de este corpus</w:t>
      </w:r>
      <w:r>
        <w:rPr>
          <w:rFonts w:ascii="Times New Roman" w:hAnsi="Times New Roman"/>
          <w:b w:val="0"/>
          <w:i w:val="0"/>
          <w:sz w:val="22"/>
        </w:rP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rFonts w:ascii="Times New Roman" w:hAnsi="Times New Roman"/>
          <w:b w:val="0"/>
          <w:i/>
          <w:sz w:val="22"/>
        </w:rPr>
        <w:t>ninguno queda sin leer</w:t>
      </w:r>
      <w:r>
        <w:rPr>
          <w:rFonts w:ascii="Times New Roman" w:hAnsi="Times New Roman"/>
          <w:b w:val="0"/>
          <w:i w:val="0"/>
          <w:sz w:val="22"/>
        </w:rPr>
        <w:t>; 28 de los 30 veredictos llevan la frase en que se apoyan y la firma de los dos autores (anexo S21); los otros 2, descartes que hizo la lectura del modelo del 22 de septiembre de 2026, no constan firmados. Como la revisión no publica ninguna estimación agrupada, la duplicación no altera ninguna cifra de efecto, pero impide leer el corpus como 65 conjuntos disjuntos de pacientes.</w:t>
      </w:r>
    </w:p>
    <w:p>
      <w:pPr>
        <w:spacing w:before="280" w:after="140"/>
      </w:pPr>
      <w:r>
        <w:rPr>
          <w:rFonts w:ascii="Times New Roman" w:hAnsi="Times New Roman"/>
          <w:b/>
          <w:i w:val="0"/>
          <w:sz w:val="24"/>
        </w:rPr>
        <w:t>5. Conclusiones</w:t>
      </w:r>
    </w:p>
    <w:p>
      <w:pPr>
        <w:jc w:val="both"/>
      </w:pPr>
      <w:r>
        <w:rPr>
          <w:rFonts w:ascii="Times New Roman" w:hAnsi="Times New Roman"/>
          <w:b w:val="0"/>
          <w:i w:val="0"/>
          <w:sz w:val="22"/>
        </w:rPr>
        <w:t xml:space="preserve">El cuerpo de evidencia clínica sobre fagoterapia en </w:t>
      </w:r>
      <w:r>
        <w:rPr>
          <w:rFonts w:ascii="Times New Roman" w:hAnsi="Times New Roman"/>
          <w:b w:val="0"/>
          <w:i/>
          <w:sz w:val="22"/>
        </w:rPr>
        <w:t>P. aeruginosa</w:t>
      </w:r>
      <w:r>
        <w:rPr>
          <w:rFonts w:ascii="Times New Roman" w:hAnsi="Times New Roman"/>
          <w:b w:val="0"/>
          <w:i w:val="0"/>
          <w:sz w:val="22"/>
        </w:rP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spacing w:before="280" w:after="140"/>
      </w:pPr>
      <w:r>
        <w:rPr>
          <w:rFonts w:ascii="Times New Roman" w:hAnsi="Times New Roman"/>
          <w:b/>
          <w:i w:val="0"/>
          <w:sz w:val="24"/>
        </w:rPr>
        <w:t>Declaraciones</w:t>
      </w:r>
    </w:p>
    <w:p>
      <w:pPr>
        <w:jc w:val="both"/>
      </w:pPr>
      <w:r>
        <w:rPr>
          <w:rFonts w:ascii="Times New Roman" w:hAnsi="Times New Roman"/>
          <w:b w:val="0"/>
          <w:i/>
          <w:sz w:val="22"/>
        </w:rPr>
        <w:t>Financiación.</w:t>
      </w:r>
      <w:r>
        <w:rPr>
          <w:rFonts w:ascii="Times New Roman" w:hAnsi="Times New Roman"/>
          <w:b w:val="0"/>
          <w:i w:val="0"/>
          <w:sz w:val="22"/>
        </w:rPr>
        <w:t xml:space="preserve"> Esta revisión no recibió financiación específica de agencias públicas, comerciales o sin ánimo de lucro.</w:t>
      </w:r>
    </w:p>
    <w:p>
      <w:pPr>
        <w:jc w:val="both"/>
      </w:pPr>
      <w:r>
        <w:rPr>
          <w:rFonts w:ascii="Times New Roman" w:hAnsi="Times New Roman"/>
          <w:b w:val="0"/>
          <w:i/>
          <w:sz w:val="22"/>
        </w:rPr>
        <w:t>Aprobación ética y consentimiento.</w:t>
      </w:r>
      <w:r>
        <w:rPr>
          <w:rFonts w:ascii="Times New Roman" w:hAnsi="Times New Roman"/>
          <w:b w:val="0"/>
          <w:i w:val="0"/>
          <w:sz w:val="22"/>
        </w:rP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pPr>
        <w:jc w:val="both"/>
      </w:pPr>
      <w:r>
        <w:rPr>
          <w:rFonts w:ascii="Times New Roman" w:hAnsi="Times New Roman"/>
          <w:b w:val="0"/>
          <w:i/>
          <w:sz w:val="22"/>
        </w:rPr>
        <w:t>Conflictos de interés.</w:t>
      </w:r>
      <w:r>
        <w:rPr>
          <w:rFonts w:ascii="Times New Roman" w:hAnsi="Times New Roman"/>
          <w:b w:val="0"/>
          <w:i w:val="0"/>
          <w:sz w:val="22"/>
        </w:rPr>
        <w:t xml:space="preserve"> Los autores declaran no tener conflictos de interés.</w:t>
      </w:r>
    </w:p>
    <w:p>
      <w:pPr>
        <w:jc w:val="both"/>
      </w:pPr>
      <w:r>
        <w:rPr>
          <w:rFonts w:ascii="Times New Roman" w:hAnsi="Times New Roman"/>
          <w:b w:val="0"/>
          <w:i/>
          <w:sz w:val="22"/>
        </w:rPr>
        <w:t>Contribución de los autores (CRediT).</w:t>
      </w:r>
      <w:r>
        <w:rPr>
          <w:rFonts w:ascii="Times New Roman" w:hAnsi="Times New Roman"/>
          <w:b w:val="0"/>
          <w:i w:val="0"/>
          <w:sz w:val="22"/>
        </w:rPr>
        <w:t xml:space="preserve"> </w:t>
      </w:r>
      <w:r>
        <w:rPr>
          <w:rFonts w:ascii="Times New Roman" w:hAnsi="Times New Roman"/>
          <w:b w:val="0"/>
          <w:i/>
          <w:sz w:val="22"/>
        </w:rPr>
        <w:t>D. Valdiviezo:</w:t>
      </w:r>
      <w:r>
        <w:rPr>
          <w:rFonts w:ascii="Times New Roman" w:hAnsi="Times New Roman"/>
          <w:b w:val="0"/>
          <w:i w:val="0"/>
          <w:sz w:val="22"/>
        </w:rPr>
        <w:t xml:space="preserve"> conceptualización, metodología, investigación (según declara D.V., ejecución de las búsquedas en cada interfaz con la guía del modelo de lenguaje, que redactó las ecuaciones; extracción de datos; riesgo de sesgo), dirección del software, la curación de datos, el análisis y la visualización, que programó y ejecutó el modelo de lenguaje, revisión de los borradores, que redactó el modelo, y administración del proyecto. </w:t>
      </w:r>
      <w:r>
        <w:rPr>
          <w:rFonts w:ascii="Times New Roman" w:hAnsi="Times New Roman"/>
          <w:b w:val="0"/>
          <w:i/>
          <w:sz w:val="22"/>
        </w:rPr>
        <w:t>N. Trelles:</w:t>
      </w:r>
      <w:r>
        <w:rPr>
          <w:rFonts w:ascii="Times New Roman" w:hAnsi="Times New Roman"/>
          <w:b w:val="0"/>
          <w:i w:val="0"/>
          <w:sz w:val="22"/>
        </w:rP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pPr>
        <w:jc w:val="both"/>
      </w:pPr>
      <w:r>
        <w:rPr>
          <w:rFonts w:ascii="Times New Roman" w:hAnsi="Times New Roman"/>
          <w:b w:val="0"/>
          <w:i/>
          <w:sz w:val="22"/>
        </w:rPr>
        <w:t>Disponibilidad de datos y código.</w:t>
      </w:r>
      <w:r>
        <w:rPr>
          <w:rFonts w:ascii="Times New Roman" w:hAnsi="Times New Roman"/>
          <w:b w:val="0"/>
          <w:i w:val="0"/>
          <w:sz w:val="22"/>
        </w:rP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pPr>
        <w:jc w:val="both"/>
      </w:pPr>
      <w:r>
        <w:rPr>
          <w:rFonts w:ascii="Times New Roman" w:hAnsi="Times New Roman"/>
          <w:b w:val="0"/>
          <w:i/>
          <w:sz w:val="22"/>
        </w:rPr>
        <w:t>Uso de inteligencia artificial.</w:t>
      </w:r>
      <w:r>
        <w:rPr>
          <w:rFonts w:ascii="Times New Roman" w:hAnsi="Times New Roman"/>
          <w:b w:val="0"/>
          <w:i w:val="0"/>
          <w:sz w:val="22"/>
        </w:rPr>
        <w:t xml:space="preserve"> Un modelo de lenguaje generativo (Claude Opus 5, Anthropic) intervino en todas las fases de esta revisión. </w:t>
      </w:r>
      <w:r>
        <w:rPr>
          <w:rFonts w:ascii="Times New Roman" w:hAnsi="Times New Roman"/>
          <w:b w:val="0"/>
          <w:i/>
          <w:sz w:val="22"/>
        </w:rPr>
        <w:t>Criterios.</w:t>
      </w:r>
      <w:r>
        <w:rPr>
          <w:rFonts w:ascii="Times New Roman" w:hAnsi="Times New Roman"/>
          <w:b w:val="0"/>
          <w:i w:val="0"/>
          <w:sz w:val="22"/>
        </w:rPr>
        <w:t xml:space="preserve"> Redactó las propuestas de criterios que se adoptaron: la unidad de inclusión por estudio y la elegibilidad de los resúmenes de congreso (5 de agosto de 2026), que decidió D.V.; los códigos PRO e INT (1 de septiembre de 2026), por orden de D.V.; el código NOORG (14 de septiembre de 2026), que firmaron los dos autores; y las reglas de desenlace, que según declara D.V. decidieron los dos autores, aunque el registro del 12 de agosto de 2026 las dejó como propuesta sin ratificar. El criterio de idioma, que se adoptó a petición del equipo, y los de texto completo (NOREC y NOPDF), que pidió D.V., no los propuso el modelo. El 4 de agosto añadió además a mitad de lote, en sus guiones de cribado, dos reglas que concretan los criterios, sin que conste una decisión de los autores. </w:t>
      </w:r>
      <w:r>
        <w:rPr>
          <w:rFonts w:ascii="Times New Roman" w:hAnsi="Times New Roman"/>
          <w:b w:val="0"/>
          <w:i/>
          <w:sz w:val="22"/>
        </w:rPr>
        <w:t>Cribado.</w:t>
      </w:r>
      <w:r>
        <w:rPr>
          <w:rFonts w:ascii="Times New Roman" w:hAnsi="Times New Roman"/>
          <w:b w:val="0"/>
          <w:i w:val="0"/>
          <w:sz w:val="22"/>
        </w:rP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rFonts w:ascii="Times New Roman" w:hAnsi="Times New Roman"/>
          <w:b w:val="0"/>
          <w:i/>
          <w:sz w:val="22"/>
        </w:rPr>
        <w:t>Búsqueda.</w:t>
      </w:r>
      <w:r>
        <w:rPr>
          <w:rFonts w:ascii="Times New Roman" w:hAnsi="Times New Roman"/>
          <w:b w:val="0"/>
          <w:i w:val="0"/>
          <w:sz w:val="22"/>
        </w:rPr>
        <w:t xml:space="preserve"> Redactó las ecuaciones de cada plataforma y sus reglas de diseño (3 de agosto de 2026), que según declara D.V. ejecutó D.V. en cada interfaz con la guía del modelo; redactó los mensajes de los commits del 3 de agosto de 2026, que narran esa ejecución en primera persona, y descargó por API los registros de PubMed y ClinicalTrials.gov. </w:t>
      </w:r>
      <w:r>
        <w:rPr>
          <w:rFonts w:ascii="Times New Roman" w:hAnsi="Times New Roman"/>
          <w:b w:val="0"/>
          <w:i/>
          <w:sz w:val="22"/>
        </w:rPr>
        <w:t>Selección y extracción.</w:t>
      </w:r>
      <w:r>
        <w:rPr>
          <w:rFonts w:ascii="Times New Roman" w:hAnsi="Times New Roman"/>
          <w:b w:val="0"/>
          <w:i w:val="0"/>
          <w:sz w:val="22"/>
        </w:rPr>
        <w:t xml:space="preserve"> Localizó y descargó textos completos, también con un navegador; propuso la agrupación de los informes en estudios; leyó los textos completos y las fichas de registro y propuso, con su cita, las exclusiones que se apoyan en ellos; de las 118 exclusiones a texto completo, 89 las firmaron los dos autores, 2 las firmó D.V. solo y 27 se registraron por orden de D.V. del 1 y el 2 de septiembre de 2026 sin que conste la firma de N.T.;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marcó con un detector que escribió 15 de los 30 pares de estudios que podían compartir pacientes y encontró otros 8 en su lectura del 22 de septiembre de 2026, antes de la relectura de los autores, que encontró los 7 restantes, y descartó 2 de ellos sin que los autores firmaran ese descarte; y redactó, en primera persona de D.V., las instrucciones y los mensajes dirigidos a N.T., entre ellos el que pidió su firma para las correcciones de modalidad, que presentaba como lectura de D.V. la que había hecho el modelo. </w:t>
      </w:r>
      <w:r>
        <w:rPr>
          <w:rFonts w:ascii="Times New Roman" w:hAnsi="Times New Roman"/>
          <w:b w:val="0"/>
          <w:i/>
          <w:sz w:val="22"/>
        </w:rPr>
        <w:t>Riesgo de sesgo.</w:t>
      </w:r>
      <w:r>
        <w:rPr>
          <w:rFonts w:ascii="Times New Roman" w:hAnsi="Times New Roman"/>
          <w:b w:val="0"/>
          <w:i w:val="0"/>
          <w:sz w:val="22"/>
        </w:rPr>
        <w:t xml:space="preserve"> Puso en cada casilla de los formularios, como comentario, las frases del artículo que localizó de forma automática para cada dominio, y generó el cuaderno de consenso con los juicios coincidentes precargados. </w:t>
      </w:r>
      <w:r>
        <w:rPr>
          <w:rFonts w:ascii="Times New Roman" w:hAnsi="Times New Roman"/>
          <w:b w:val="0"/>
          <w:i/>
          <w:sz w:val="22"/>
        </w:rPr>
        <w:t>Canal y redacción.</w:t>
      </w:r>
      <w:r>
        <w:rPr>
          <w:rFonts w:ascii="Times New Roman" w:hAnsi="Times New Roman"/>
          <w:b w:val="0"/>
          <w:i w:val="0"/>
          <w:sz w:val="22"/>
        </w:rP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salvo que 77 decisiones de resumen heredadas por PMID de la primera pasada del 4 de agosto sobre el brazo A de PubMed llevan en S3 la fecha de su copia al pozo y no la de la decisión; esa primera pasada,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spacing w:before="280" w:after="140"/>
      </w:pPr>
      <w:r>
        <w:rPr>
          <w:rFonts w:ascii="Times New Roman" w:hAnsi="Times New Roman"/>
          <w:b/>
          <w:i w:val="0"/>
          <w:sz w:val="24"/>
        </w:rPr>
        <w:t>Tablas y figuras</w:t>
      </w:r>
    </w:p>
    <w:p>
      <w:pPr>
        <w:jc w:val="both"/>
      </w:pPr>
      <w:r>
        <w:rPr>
          <w:rFonts w:ascii="Times New Roman" w:hAnsi="Times New Roman"/>
          <w:b w:val="0"/>
          <w:i w:val="0"/>
          <w:sz w:val="22"/>
        </w:rPr>
        <w:t>Las seis tablas se aportan como archivos independientes (`paper/tablas/`), cada una con su nota al pie. Las dos figuras se aportan en PDF vectorial (`paper/figuras/`).</w:t>
      </w:r>
    </w:p>
    <w:p>
      <w:pPr>
        <w:spacing w:before="240" w:after="100" w:line="240" w:lineRule="auto"/>
      </w:pPr>
      <w:r>
        <w:rPr>
          <w:rFonts w:ascii="Times New Roman" w:hAnsi="Times New Roman"/>
          <w:b w:val="0"/>
          <w:i/>
          <w:sz w:val="18"/>
        </w:rPr>
        <w:t>Tabla 1.</w:t>
      </w:r>
      <w:r>
        <w:rPr>
          <w:rFonts w:ascii="Times New Roman" w:hAnsi="Times New Roman"/>
          <w:b w:val="0"/>
          <w:i w:val="0"/>
          <w:sz w:val="18"/>
        </w:rPr>
        <w:t xml:space="preserve"> Características del cuerpo de evidencia recuperable (n = 65 estudios).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Característica</w:t>
            </w:r>
          </w:p>
        </w:tc>
        <w:tc>
          <w:tcPr>
            <w:tcW w:type="dxa" w:w="3009"/>
          </w:tcPr>
          <w:p>
            <w:r/>
            <w:r>
              <w:rPr>
                <w:rFonts w:ascii="Times New Roman" w:hAnsi="Times New Roman"/>
                <w:b/>
                <w:i w:val="0"/>
                <w:sz w:val="18"/>
              </w:rPr>
              <w:t>n</w:t>
            </w:r>
          </w:p>
        </w:tc>
        <w:tc>
          <w:tcPr>
            <w:tcW w:type="dxa" w:w="3009"/>
          </w:tcPr>
          <w:p>
            <w:r/>
            <w:r>
              <w:rPr>
                <w:rFonts w:ascii="Times New Roman" w:hAnsi="Times New Roman"/>
                <w:b/>
                <w:i w:val="0"/>
                <w:sz w:val="18"/>
              </w:rPr>
              <w:t>%</w:t>
            </w:r>
          </w:p>
        </w:tc>
      </w:tr>
      <w:tr>
        <w:tc>
          <w:tcPr>
            <w:tcW w:type="dxa" w:w="3009"/>
          </w:tcPr>
          <w:p>
            <w:r/>
            <w:r>
              <w:rPr>
                <w:rFonts w:ascii="Times New Roman" w:hAnsi="Times New Roman"/>
                <w:b w:val="0"/>
                <w:i w:val="0"/>
                <w:sz w:val="18"/>
              </w:rPr>
              <w:t>Periodo de publicación</w:t>
            </w:r>
          </w:p>
        </w:tc>
        <w:tc>
          <w:tcPr>
            <w:tcW w:type="dxa" w:w="3009"/>
          </w:tcPr>
          <w:p>
            <w:r/>
            <w:r>
              <w:rPr>
                <w:rFonts w:ascii="Times New Roman" w:hAnsi="Times New Roman"/>
                <w:b w:val="0"/>
                <w:i w:val="0"/>
                <w:sz w:val="18"/>
              </w:rPr>
              <w:t>2017–2026</w:t>
            </w:r>
          </w:p>
        </w:tc>
        <w:tc>
          <w:tcPr>
            <w:tcW w:type="dxa" w:w="3009"/>
          </w:tcPr>
          <w:p>
            <w:r/>
            <w:r>
              <w:rPr>
                <w:rFonts w:ascii="Times New Roman" w:hAnsi="Times New Roman"/>
                <w:b w:val="0"/>
                <w:i w:val="0"/>
                <w:sz w:val="18"/>
              </w:rPr>
              <w:t>—</w:t>
            </w:r>
          </w:p>
        </w:tc>
      </w:tr>
      <w:tr>
        <w:tc>
          <w:tcPr>
            <w:tcW w:type="dxa" w:w="3009"/>
          </w:tcPr>
          <w:p>
            <w:r/>
            <w:r>
              <w:rPr>
                <w:rFonts w:ascii="Times New Roman" w:hAnsi="Times New Roman"/>
                <w:b w:val="0"/>
                <w:i w:val="0"/>
                <w:sz w:val="18"/>
              </w:rPr>
              <w:t>Publicados desde 2020</w:t>
            </w:r>
          </w:p>
        </w:tc>
        <w:tc>
          <w:tcPr>
            <w:tcW w:type="dxa" w:w="3009"/>
          </w:tcPr>
          <w:p>
            <w:r/>
            <w:r>
              <w:rPr>
                <w:rFonts w:ascii="Times New Roman" w:hAnsi="Times New Roman"/>
                <w:b w:val="0"/>
                <w:i w:val="0"/>
                <w:sz w:val="18"/>
              </w:rPr>
              <w:t>56</w:t>
            </w:r>
          </w:p>
        </w:tc>
        <w:tc>
          <w:tcPr>
            <w:tcW w:type="dxa" w:w="3009"/>
          </w:tcPr>
          <w:p>
            <w:r/>
            <w:r>
              <w:rPr>
                <w:rFonts w:ascii="Times New Roman" w:hAnsi="Times New Roman"/>
                <w:b w:val="0"/>
                <w:i w:val="0"/>
                <w:sz w:val="18"/>
              </w:rPr>
              <w:t>86.2</w:t>
            </w:r>
          </w:p>
        </w:tc>
      </w:tr>
      <w:tr>
        <w:tc>
          <w:tcPr>
            <w:tcW w:type="dxa" w:w="3009"/>
          </w:tcPr>
          <w:p>
            <w:r/>
            <w:r>
              <w:rPr>
                <w:rFonts w:ascii="Times New Roman" w:hAnsi="Times New Roman"/>
                <w:b w:val="0"/>
                <w:i/>
                <w:sz w:val="18"/>
              </w:rPr>
              <w:t>Diseño</w:t>
            </w:r>
          </w:p>
        </w:tc>
        <w:tc>
          <w:tcPr>
            <w:tcW w:type="dxa" w:w="3009"/>
          </w:tcPr>
          <w:p>
            <w:r/>
          </w:p>
        </w:tc>
        <w:tc>
          <w:tcPr>
            <w:tcW w:type="dxa" w:w="3009"/>
          </w:tcPr>
          <w:p>
            <w:r/>
          </w:p>
        </w:tc>
      </w:tr>
      <w:tr>
        <w:tc>
          <w:tcPr>
            <w:tcW w:type="dxa" w:w="3009"/>
          </w:tcPr>
          <w:p>
            <w:r/>
            <w:r>
              <w:rPr>
                <w:rFonts w:ascii="Times New Roman" w:hAnsi="Times New Roman"/>
                <w:b w:val="0"/>
                <w:i w:val="0"/>
                <w:sz w:val="18"/>
              </w:rPr>
              <w:t>Reporte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52.3</w:t>
            </w:r>
          </w:p>
        </w:tc>
      </w:tr>
      <w:tr>
        <w:tc>
          <w:tcPr>
            <w:tcW w:type="dxa" w:w="3009"/>
          </w:tcPr>
          <w:p>
            <w:r/>
            <w:r>
              <w:rPr>
                <w:rFonts w:ascii="Times New Roman" w:hAnsi="Times New Roman"/>
                <w:b w:val="0"/>
                <w:i w:val="0"/>
                <w:sz w:val="18"/>
              </w:rPr>
              <w:t>Serie de casos</w:t>
            </w:r>
          </w:p>
        </w:tc>
        <w:tc>
          <w:tcPr>
            <w:tcW w:type="dxa" w:w="3009"/>
          </w:tcPr>
          <w:p>
            <w:r/>
            <w:r>
              <w:rPr>
                <w:rFonts w:ascii="Times New Roman" w:hAnsi="Times New Roman"/>
                <w:b w:val="0"/>
                <w:i w:val="0"/>
                <w:sz w:val="18"/>
              </w:rPr>
              <w:t>16</w:t>
            </w:r>
          </w:p>
        </w:tc>
        <w:tc>
          <w:tcPr>
            <w:tcW w:type="dxa" w:w="3009"/>
          </w:tcPr>
          <w:p>
            <w:r/>
            <w:r>
              <w:rPr>
                <w:rFonts w:ascii="Times New Roman" w:hAnsi="Times New Roman"/>
                <w:b w:val="0"/>
                <w:i w:val="0"/>
                <w:sz w:val="18"/>
              </w:rPr>
              <w:t>24.6</w:t>
            </w:r>
          </w:p>
        </w:tc>
      </w:tr>
      <w:tr>
        <w:tc>
          <w:tcPr>
            <w:tcW w:type="dxa" w:w="3009"/>
          </w:tcPr>
          <w:p>
            <w:r/>
            <w:r>
              <w:rPr>
                <w:rFonts w:ascii="Times New Roman" w:hAnsi="Times New Roman"/>
                <w:b w:val="0"/>
                <w:i w:val="0"/>
                <w:sz w:val="18"/>
              </w:rPr>
              <w:t>Cohorte prospectiva</w:t>
            </w:r>
          </w:p>
        </w:tc>
        <w:tc>
          <w:tcPr>
            <w:tcW w:type="dxa" w:w="3009"/>
          </w:tcPr>
          <w:p>
            <w:r/>
            <w:r>
              <w:rPr>
                <w:rFonts w:ascii="Times New Roman" w:hAnsi="Times New Roman"/>
                <w:b w:val="0"/>
                <w:i w:val="0"/>
                <w:sz w:val="18"/>
              </w:rPr>
              <w:t>7</w:t>
            </w:r>
          </w:p>
        </w:tc>
        <w:tc>
          <w:tcPr>
            <w:tcW w:type="dxa" w:w="3009"/>
          </w:tcPr>
          <w:p>
            <w:r/>
            <w:r>
              <w:rPr>
                <w:rFonts w:ascii="Times New Roman" w:hAnsi="Times New Roman"/>
                <w:b w:val="0"/>
                <w:i w:val="0"/>
                <w:sz w:val="18"/>
              </w:rPr>
              <w:t>10.8</w:t>
            </w:r>
          </w:p>
        </w:tc>
      </w:tr>
      <w:tr>
        <w:tc>
          <w:tcPr>
            <w:tcW w:type="dxa" w:w="3009"/>
          </w:tcPr>
          <w:p>
            <w:r/>
            <w:r>
              <w:rPr>
                <w:rFonts w:ascii="Times New Roman" w:hAnsi="Times New Roman"/>
                <w:b w:val="0"/>
                <w:i w:val="0"/>
                <w:sz w:val="18"/>
              </w:rPr>
              <w:t>No declarado en el resumen</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Cohorte retrospectiva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Ensayo aleatorizado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Diseños comparativos (total)</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sz w:val="18"/>
              </w:rPr>
              <w:t>Procedencia declarada</w:t>
            </w:r>
          </w:p>
        </w:tc>
        <w:tc>
          <w:tcPr>
            <w:tcW w:type="dxa" w:w="3009"/>
          </w:tcPr>
          <w:p>
            <w:r/>
          </w:p>
        </w:tc>
        <w:tc>
          <w:tcPr>
            <w:tcW w:type="dxa" w:w="3009"/>
          </w:tcPr>
          <w:p>
            <w:r/>
          </w:p>
        </w:tc>
      </w:tr>
      <w:tr>
        <w:tc>
          <w:tcPr>
            <w:tcW w:type="dxa" w:w="3009"/>
          </w:tcPr>
          <w:p>
            <w:r/>
            <w:r>
              <w:rPr>
                <w:rFonts w:ascii="Times New Roman" w:hAnsi="Times New Roman"/>
                <w:b w:val="0"/>
                <w:i w:val="0"/>
                <w:sz w:val="18"/>
              </w:rPr>
              <w:t>Georgia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Polonia</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6.2</w:t>
            </w:r>
          </w:p>
        </w:tc>
      </w:tr>
      <w:tr>
        <w:tc>
          <w:tcPr>
            <w:tcW w:type="dxa" w:w="3009"/>
          </w:tcPr>
          <w:p>
            <w:r/>
            <w:r>
              <w:rPr>
                <w:rFonts w:ascii="Times New Roman" w:hAnsi="Times New Roman"/>
                <w:b w:val="0"/>
                <w:i w:val="0"/>
                <w:sz w:val="18"/>
              </w:rPr>
              <w:t>Francia</w:t>
            </w:r>
          </w:p>
        </w:tc>
        <w:tc>
          <w:tcPr>
            <w:tcW w:type="dxa" w:w="3009"/>
          </w:tcPr>
          <w:p>
            <w:r/>
            <w:r>
              <w:rPr>
                <w:rFonts w:ascii="Times New Roman" w:hAnsi="Times New Roman"/>
                <w:b w:val="0"/>
                <w:i w:val="0"/>
                <w:sz w:val="18"/>
              </w:rPr>
              <w:t>3</w:t>
            </w:r>
          </w:p>
        </w:tc>
        <w:tc>
          <w:tcPr>
            <w:tcW w:type="dxa" w:w="3009"/>
          </w:tcPr>
          <w:p>
            <w:r/>
            <w:r>
              <w:rPr>
                <w:rFonts w:ascii="Times New Roman" w:hAnsi="Times New Roman"/>
                <w:b w:val="0"/>
                <w:i w:val="0"/>
                <w:sz w:val="18"/>
              </w:rPr>
              <w:t>4.6</w:t>
            </w:r>
          </w:p>
        </w:tc>
      </w:tr>
      <w:tr>
        <w:tc>
          <w:tcPr>
            <w:tcW w:type="dxa" w:w="3009"/>
          </w:tcPr>
          <w:p>
            <w:r/>
            <w:r>
              <w:rPr>
                <w:rFonts w:ascii="Times New Roman" w:hAnsi="Times New Roman"/>
                <w:b w:val="0"/>
                <w:i w:val="0"/>
                <w:sz w:val="18"/>
              </w:rPr>
              <w:t>Bélgica</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Estados Unidos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3.1</w:t>
            </w:r>
          </w:p>
        </w:tc>
      </w:tr>
      <w:tr>
        <w:tc>
          <w:tcPr>
            <w:tcW w:type="dxa" w:w="3009"/>
          </w:tcPr>
          <w:p>
            <w:r/>
            <w:r>
              <w:rPr>
                <w:rFonts w:ascii="Times New Roman" w:hAnsi="Times New Roman"/>
                <w:b w:val="0"/>
                <w:i w:val="0"/>
                <w:sz w:val="18"/>
              </w:rPr>
              <w:t>Otros 9 países, un estudio cada uno</w:t>
            </w:r>
          </w:p>
        </w:tc>
        <w:tc>
          <w:tcPr>
            <w:tcW w:type="dxa" w:w="3009"/>
          </w:tcPr>
          <w:p>
            <w:r/>
            <w:r>
              <w:rPr>
                <w:rFonts w:ascii="Times New Roman" w:hAnsi="Times New Roman"/>
                <w:b w:val="0"/>
                <w:i w:val="0"/>
                <w:sz w:val="18"/>
              </w:rPr>
              <w:t>9</w:t>
            </w:r>
          </w:p>
        </w:tc>
        <w:tc>
          <w:tcPr>
            <w:tcW w:type="dxa" w:w="3009"/>
          </w:tcPr>
          <w:p>
            <w:r/>
            <w:r>
              <w:rPr>
                <w:rFonts w:ascii="Times New Roman" w:hAnsi="Times New Roman"/>
                <w:b w:val="0"/>
                <w:i w:val="0"/>
                <w:sz w:val="18"/>
              </w:rPr>
              <w:t>13.8</w:t>
            </w:r>
          </w:p>
        </w:tc>
      </w:tr>
      <w:tr>
        <w:tc>
          <w:tcPr>
            <w:tcW w:type="dxa" w:w="3009"/>
          </w:tcPr>
          <w:p>
            <w:r/>
            <w:r>
              <w:rPr>
                <w:rFonts w:ascii="Times New Roman" w:hAnsi="Times New Roman"/>
                <w:b w:val="0"/>
                <w:i w:val="0"/>
                <w:sz w:val="18"/>
              </w:rPr>
              <w:t>No declarada en el resumen</w:t>
            </w:r>
          </w:p>
        </w:tc>
        <w:tc>
          <w:tcPr>
            <w:tcW w:type="dxa" w:w="3009"/>
          </w:tcPr>
          <w:p>
            <w:r/>
            <w:r>
              <w:rPr>
                <w:rFonts w:ascii="Times New Roman" w:hAnsi="Times New Roman"/>
                <w:b w:val="0"/>
                <w:i w:val="0"/>
                <w:sz w:val="18"/>
              </w:rPr>
              <w:t>41</w:t>
            </w:r>
          </w:p>
        </w:tc>
        <w:tc>
          <w:tcPr>
            <w:tcW w:type="dxa" w:w="3009"/>
          </w:tcPr>
          <w:p>
            <w:r/>
            <w:r>
              <w:rPr>
                <w:rFonts w:ascii="Times New Roman" w:hAnsi="Times New Roman"/>
                <w:b w:val="0"/>
                <w:i w:val="0"/>
                <w:sz w:val="18"/>
              </w:rPr>
              <w:t>63.1</w:t>
            </w:r>
          </w:p>
        </w:tc>
      </w:tr>
    </w:tbl>
    <w:p/>
    <w:p>
      <w:pPr>
        <w:spacing w:before="240" w:after="100" w:line="240" w:lineRule="auto"/>
      </w:pPr>
      <w:r>
        <w:rPr>
          <w:rFonts w:ascii="Times New Roman" w:hAnsi="Times New Roman"/>
          <w:b w:val="0"/>
          <w:i/>
          <w:sz w:val="18"/>
        </w:rPr>
        <w:t>Tabla 2.</w:t>
      </w:r>
      <w:r>
        <w:rPr>
          <w:rFonts w:ascii="Times New Roman" w:hAnsi="Times New Roman"/>
          <w:b w:val="0"/>
          <w:i w:val="0"/>
          <w:sz w:val="18"/>
        </w:rPr>
        <w:t xml:space="preserve"> Completitud del reporte en las variables críticas para la estratificación.</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Variable</w:t>
            </w:r>
          </w:p>
        </w:tc>
        <w:tc>
          <w:tcPr>
            <w:tcW w:type="dxa" w:w="1805"/>
          </w:tcPr>
          <w:p>
            <w:r/>
            <w:r>
              <w:rPr>
                <w:rFonts w:ascii="Times New Roman" w:hAnsi="Times New Roman"/>
                <w:b/>
                <w:i w:val="0"/>
                <w:sz w:val="18"/>
              </w:rPr>
              <w:t>No asignable en el resumen</w:t>
            </w:r>
          </w:p>
        </w:tc>
        <w:tc>
          <w:tcPr>
            <w:tcW w:type="dxa" w:w="1805"/>
          </w:tcPr>
          <w:p>
            <w:r/>
            <w:r>
              <w:rPr>
                <w:rFonts w:ascii="Times New Roman" w:hAnsi="Times New Roman"/>
                <w:b/>
                <w:i w:val="0"/>
                <w:sz w:val="18"/>
              </w:rPr>
              <w:t>Declarado en el texto completo</w:t>
            </w:r>
          </w:p>
        </w:tc>
        <w:tc>
          <w:tcPr>
            <w:tcW w:type="dxa" w:w="1805"/>
          </w:tcPr>
          <w:p>
            <w:r/>
            <w:r>
              <w:rPr>
                <w:rFonts w:ascii="Times New Roman" w:hAnsi="Times New Roman"/>
                <w:b/>
                <w:i w:val="0"/>
                <w:sz w:val="18"/>
              </w:rPr>
              <w:t>Declarado pero no clasificable</w:t>
            </w:r>
          </w:p>
        </w:tc>
        <w:tc>
          <w:tcPr>
            <w:tcW w:type="dxa" w:w="1805"/>
          </w:tcPr>
          <w:p>
            <w:r/>
            <w:r>
              <w:rPr>
                <w:rFonts w:ascii="Times New Roman" w:hAnsi="Times New Roman"/>
                <w:b/>
                <w:i w:val="0"/>
                <w:sz w:val="18"/>
              </w:rPr>
              <w:t>No declarado en el texto completo</w:t>
            </w:r>
          </w:p>
        </w:tc>
      </w:tr>
      <w:tr>
        <w:tc>
          <w:tcPr>
            <w:tcW w:type="dxa" w:w="1805"/>
          </w:tcPr>
          <w:p>
            <w:r/>
            <w:r>
              <w:rPr>
                <w:rFonts w:ascii="Times New Roman" w:hAnsi="Times New Roman"/>
                <w:b w:val="0"/>
                <w:i w:val="0"/>
                <w:sz w:val="18"/>
              </w:rPr>
              <w:t>Clase de resistencia (MDR/XDR/PDR)</w:t>
            </w:r>
          </w:p>
        </w:tc>
        <w:tc>
          <w:tcPr>
            <w:tcW w:type="dxa" w:w="1805"/>
          </w:tcPr>
          <w:p>
            <w:r/>
            <w:r>
              <w:rPr>
                <w:rFonts w:ascii="Times New Roman" w:hAnsi="Times New Roman"/>
                <w:b w:val="0"/>
                <w:i w:val="0"/>
                <w:sz w:val="18"/>
              </w:rPr>
              <w:t>33 (50.8 %)</w:t>
            </w:r>
          </w:p>
        </w:tc>
        <w:tc>
          <w:tcPr>
            <w:tcW w:type="dxa" w:w="1805"/>
          </w:tcPr>
          <w:p>
            <w:r/>
            <w:r>
              <w:rPr>
                <w:rFonts w:ascii="Times New Roman" w:hAnsi="Times New Roman"/>
                <w:b w:val="0"/>
                <w:i w:val="0"/>
                <w:sz w:val="18"/>
              </w:rPr>
              <w:t>50</w:t>
            </w:r>
          </w:p>
        </w:tc>
        <w:tc>
          <w:tcPr>
            <w:tcW w:type="dxa" w:w="1805"/>
          </w:tcPr>
          <w:p>
            <w:r/>
            <w:r>
              <w:rPr>
                <w:rFonts w:ascii="Times New Roman" w:hAnsi="Times New Roman"/>
                <w:b w:val="0"/>
                <w:i w:val="0"/>
                <w:sz w:val="18"/>
              </w:rPr>
              <w:t>15</w:t>
            </w:r>
          </w:p>
        </w:tc>
        <w:tc>
          <w:tcPr>
            <w:tcW w:type="dxa" w:w="1805"/>
          </w:tcPr>
          <w:p>
            <w:r/>
            <w:r>
              <w:rPr>
                <w:rFonts w:ascii="Times New Roman" w:hAnsi="Times New Roman"/>
                <w:b w:val="0"/>
                <w:i w:val="0"/>
                <w:sz w:val="18"/>
              </w:rPr>
              <w:t>0</w:t>
            </w:r>
          </w:p>
        </w:tc>
      </w:tr>
      <w:tr>
        <w:tc>
          <w:tcPr>
            <w:tcW w:type="dxa" w:w="1805"/>
          </w:tcPr>
          <w:p>
            <w:r/>
            <w:r>
              <w:rPr>
                <w:rFonts w:ascii="Times New Roman" w:hAnsi="Times New Roman"/>
                <w:b w:val="0"/>
                <w:i w:val="0"/>
                <w:sz w:val="18"/>
              </w:rPr>
              <w:t xml:space="preserve">Ámbito de patógeno (solo </w:t>
            </w:r>
            <w:r>
              <w:rPr>
                <w:rFonts w:ascii="Times New Roman" w:hAnsi="Times New Roman"/>
                <w:b w:val="0"/>
                <w:i/>
                <w:sz w:val="18"/>
              </w:rPr>
              <w:t>P. aeruginosa</w:t>
            </w:r>
            <w:r>
              <w:rPr>
                <w:rFonts w:ascii="Times New Roman" w:hAnsi="Times New Roman"/>
                <w:b w:val="0"/>
                <w:i w:val="0"/>
                <w:sz w:val="18"/>
              </w:rPr>
              <w:t xml:space="preserve"> o mixto)</w:t>
            </w:r>
          </w:p>
        </w:tc>
        <w:tc>
          <w:tcPr>
            <w:tcW w:type="dxa" w:w="1805"/>
          </w:tcPr>
          <w:p>
            <w:r/>
            <w:r>
              <w:rPr>
                <w:rFonts w:ascii="Times New Roman" w:hAnsi="Times New Roman"/>
                <w:b w:val="0"/>
                <w:i w:val="0"/>
                <w:sz w:val="18"/>
              </w:rPr>
              <w:t>17 (26.2 %)</w:t>
            </w:r>
          </w:p>
        </w:tc>
        <w:tc>
          <w:tcPr>
            <w:tcW w:type="dxa" w:w="1805"/>
          </w:tcPr>
          <w:p>
            <w:r/>
            <w:r>
              <w:rPr>
                <w:rFonts w:ascii="Times New Roman" w:hAnsi="Times New Roman"/>
                <w:b w:val="0"/>
                <w:i w:val="0"/>
                <w:sz w:val="18"/>
              </w:rPr>
              <w:t>60</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5</w:t>
            </w:r>
          </w:p>
        </w:tc>
      </w:tr>
      <w:tr>
        <w:tc>
          <w:tcPr>
            <w:tcW w:type="dxa" w:w="1805"/>
          </w:tcPr>
          <w:p>
            <w:r/>
            <w:r>
              <w:rPr>
                <w:rFonts w:ascii="Times New Roman" w:hAnsi="Times New Roman"/>
                <w:b w:val="0"/>
                <w:i w:val="0"/>
                <w:sz w:val="18"/>
              </w:rPr>
              <w:t>Vía de administración del fago</w:t>
            </w:r>
          </w:p>
        </w:tc>
        <w:tc>
          <w:tcPr>
            <w:tcW w:type="dxa" w:w="1805"/>
          </w:tcPr>
          <w:p>
            <w:r/>
            <w:r>
              <w:rPr>
                <w:rFonts w:ascii="Times New Roman" w:hAnsi="Times New Roman"/>
                <w:b w:val="0"/>
                <w:i w:val="0"/>
                <w:sz w:val="18"/>
              </w:rPr>
              <w:t>32 (49.2 %)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Modalidad (monoterapia o combinada)</w:t>
            </w:r>
          </w:p>
        </w:tc>
        <w:tc>
          <w:tcPr>
            <w:tcW w:type="dxa" w:w="1805"/>
          </w:tcPr>
          <w:p>
            <w:r/>
            <w:r>
              <w:rPr>
                <w:rFonts w:ascii="Times New Roman" w:hAnsi="Times New Roman"/>
                <w:b w:val="0"/>
                <w:i w:val="0"/>
                <w:sz w:val="18"/>
              </w:rPr>
              <w:t>36 (55.4 %)</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1</w:t>
            </w:r>
          </w:p>
        </w:tc>
      </w:tr>
      <w:tr>
        <w:tc>
          <w:tcPr>
            <w:tcW w:type="dxa" w:w="1805"/>
          </w:tcPr>
          <w:p>
            <w:r/>
            <w:r>
              <w:rPr>
                <w:rFonts w:ascii="Times New Roman" w:hAnsi="Times New Roman"/>
                <w:b w:val="0"/>
                <w:i w:val="0"/>
                <w:sz w:val="18"/>
              </w:rPr>
              <w:t>Criterio DTR (</w:t>
            </w:r>
            <w:r>
              <w:rPr>
                <w:rFonts w:ascii="Times New Roman" w:hAnsi="Times New Roman"/>
                <w:b w:val="0"/>
                <w:i/>
                <w:sz w:val="18"/>
              </w:rPr>
              <w:t>difficult-to-treat resistance</w:t>
            </w:r>
            <w:r>
              <w:rPr>
                <w:rFonts w:ascii="Times New Roman" w:hAnsi="Times New Roman"/>
                <w:b w:val="0"/>
                <w:i w:val="0"/>
                <w:sz w:val="18"/>
              </w:rPr>
              <w:t>)</w:t>
            </w:r>
          </w:p>
        </w:tc>
        <w:tc>
          <w:tcPr>
            <w:tcW w:type="dxa" w:w="1805"/>
          </w:tcPr>
          <w:p>
            <w:r/>
            <w:r>
              <w:rPr>
                <w:rFonts w:ascii="Times New Roman" w:hAnsi="Times New Roman"/>
                <w:b w:val="0"/>
                <w:i w:val="0"/>
                <w:sz w:val="18"/>
              </w:rPr>
              <w:t>63 (96.9 %)</w:t>
            </w:r>
          </w:p>
        </w:tc>
        <w:tc>
          <w:tcPr>
            <w:tcW w:type="dxa" w:w="1805"/>
          </w:tcPr>
          <w:p>
            <w:r/>
            <w:r>
              <w:rPr>
                <w:rFonts w:ascii="Times New Roman" w:hAnsi="Times New Roman"/>
                <w:b w:val="0"/>
                <w:i w:val="0"/>
                <w:sz w:val="18"/>
              </w:rPr>
              <w:t>63</w:t>
            </w:r>
          </w:p>
        </w:tc>
        <w:tc>
          <w:tcPr>
            <w:tcW w:type="dxa" w:w="1805"/>
          </w:tcPr>
          <w:p>
            <w:r/>
            <w:r>
              <w:rPr>
                <w:rFonts w:ascii="Times New Roman" w:hAnsi="Times New Roman"/>
                <w:b w:val="0"/>
                <w:i w:val="0"/>
                <w:sz w:val="18"/>
              </w:rPr>
              <w:t>2</w:t>
            </w:r>
          </w:p>
        </w:tc>
        <w:tc>
          <w:tcPr>
            <w:tcW w:type="dxa" w:w="1805"/>
          </w:tcPr>
          <w:p>
            <w:r/>
            <w:r>
              <w:rPr>
                <w:rFonts w:ascii="Times New Roman" w:hAnsi="Times New Roman"/>
                <w:b w:val="0"/>
                <w:i w:val="0"/>
                <w:sz w:val="18"/>
              </w:rPr>
              <w:t>0</w:t>
            </w:r>
          </w:p>
        </w:tc>
      </w:tr>
    </w:tbl>
    <w:p/>
    <w:p>
      <w:pPr>
        <w:spacing w:before="240" w:after="100" w:line="240" w:lineRule="auto"/>
      </w:pPr>
      <w:r>
        <w:rPr>
          <w:rFonts w:ascii="Times New Roman" w:hAnsi="Times New Roman"/>
          <w:b w:val="0"/>
          <w:i/>
          <w:sz w:val="18"/>
        </w:rPr>
        <w:t>Tabla 3.</w:t>
      </w:r>
      <w:r>
        <w:rPr>
          <w:rFonts w:ascii="Times New Roman" w:hAnsi="Times New Roman"/>
          <w:b w:val="0"/>
          <w:i w:val="0"/>
          <w:sz w:val="18"/>
        </w:rPr>
        <w:t xml:space="preserve"> Lo que el criterio del texto completo deja fuera: estudios incluidos frente a excluidos por no disponer del artículo.</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p>
        </w:tc>
        <w:tc>
          <w:tcPr>
            <w:tcW w:type="dxa" w:w="3009"/>
          </w:tcPr>
          <w:p>
            <w:r/>
            <w:r>
              <w:rPr>
                <w:rFonts w:ascii="Times New Roman" w:hAnsi="Times New Roman"/>
                <w:b/>
                <w:i w:val="0"/>
                <w:sz w:val="18"/>
              </w:rPr>
              <w:t>Incluidos (texto completo leído)</w:t>
            </w:r>
          </w:p>
        </w:tc>
        <w:tc>
          <w:tcPr>
            <w:tcW w:type="dxa" w:w="3009"/>
          </w:tcPr>
          <w:p>
            <w:r/>
            <w:r>
              <w:rPr>
                <w:rFonts w:ascii="Times New Roman" w:hAnsi="Times New Roman"/>
                <w:b/>
                <w:i w:val="0"/>
                <w:sz w:val="18"/>
              </w:rPr>
              <w:t>Excluidos por no tener el texto completo</w:t>
            </w:r>
          </w:p>
        </w:tc>
      </w:tr>
      <w:tr>
        <w:tc>
          <w:tcPr>
            <w:tcW w:type="dxa" w:w="3009"/>
          </w:tcPr>
          <w:p>
            <w:r/>
            <w:r>
              <w:rPr>
                <w:rFonts w:ascii="Times New Roman" w:hAnsi="Times New Roman"/>
                <w:b w:val="0"/>
                <w:i w:val="0"/>
                <w:sz w:val="18"/>
              </w:rPr>
              <w:t>Estudios</w:t>
            </w:r>
          </w:p>
        </w:tc>
        <w:tc>
          <w:tcPr>
            <w:tcW w:type="dxa" w:w="3009"/>
          </w:tcPr>
          <w:p>
            <w:r/>
            <w:r>
              <w:rPr>
                <w:rFonts w:ascii="Times New Roman" w:hAnsi="Times New Roman"/>
                <w:b w:val="0"/>
                <w:i w:val="0"/>
                <w:sz w:val="18"/>
              </w:rPr>
              <w:t>65</w:t>
            </w:r>
          </w:p>
        </w:tc>
        <w:tc>
          <w:tcPr>
            <w:tcW w:type="dxa" w:w="3009"/>
          </w:tcPr>
          <w:p>
            <w:r/>
            <w:r>
              <w:rPr>
                <w:rFonts w:ascii="Times New Roman" w:hAnsi="Times New Roman"/>
                <w:b w:val="0"/>
                <w:i w:val="0"/>
                <w:sz w:val="18"/>
              </w:rPr>
              <w:t>25</w:t>
            </w:r>
          </w:p>
        </w:tc>
      </w:tr>
      <w:tr>
        <w:tc>
          <w:tcPr>
            <w:tcW w:type="dxa" w:w="3009"/>
          </w:tcPr>
          <w:p>
            <w:r/>
            <w:r>
              <w:rPr>
                <w:rFonts w:ascii="Times New Roman" w:hAnsi="Times New Roman"/>
                <w:b w:val="0"/>
                <w:i w:val="0"/>
                <w:sz w:val="18"/>
              </w:rPr>
              <w:t>Diseños comparativos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7</w:t>
            </w:r>
          </w:p>
        </w:tc>
      </w:tr>
      <w:tr>
        <w:tc>
          <w:tcPr>
            <w:tcW w:type="dxa" w:w="3009"/>
          </w:tcPr>
          <w:p>
            <w:r/>
            <w:r>
              <w:rPr>
                <w:rFonts w:ascii="Times New Roman" w:hAnsi="Times New Roman"/>
                <w:b w:val="0"/>
                <w:i w:val="0"/>
                <w:sz w:val="18"/>
              </w:rPr>
              <w:t>Comparativos (% de la columna)</w:t>
            </w:r>
          </w:p>
        </w:tc>
        <w:tc>
          <w:tcPr>
            <w:tcW w:type="dxa" w:w="3009"/>
          </w:tcPr>
          <w:p>
            <w:r/>
            <w:r>
              <w:rPr>
                <w:rFonts w:ascii="Times New Roman" w:hAnsi="Times New Roman"/>
                <w:b w:val="0"/>
                <w:i w:val="0"/>
                <w:sz w:val="18"/>
              </w:rPr>
              <w:t>3.1</w:t>
            </w:r>
          </w:p>
        </w:tc>
        <w:tc>
          <w:tcPr>
            <w:tcW w:type="dxa" w:w="3009"/>
          </w:tcPr>
          <w:p>
            <w:r/>
            <w:r>
              <w:rPr>
                <w:rFonts w:ascii="Times New Roman" w:hAnsi="Times New Roman"/>
                <w:b w:val="0"/>
                <w:i w:val="0"/>
                <w:sz w:val="18"/>
              </w:rPr>
              <w:t>28.0</w:t>
            </w:r>
          </w:p>
        </w:tc>
      </w:tr>
      <w:tr>
        <w:tc>
          <w:tcPr>
            <w:tcW w:type="dxa" w:w="3009"/>
          </w:tcPr>
          <w:p>
            <w:r/>
            <w:r>
              <w:rPr>
                <w:rFonts w:ascii="Times New Roman" w:hAnsi="Times New Roman"/>
                <w:b w:val="0"/>
                <w:i w:val="0"/>
                <w:sz w:val="18"/>
              </w:rPr>
              <w:t>Reportes de caso único</w:t>
            </w:r>
          </w:p>
        </w:tc>
        <w:tc>
          <w:tcPr>
            <w:tcW w:type="dxa" w:w="3009"/>
          </w:tcPr>
          <w:p>
            <w:r/>
            <w:r>
              <w:rPr>
                <w:rFonts w:ascii="Times New Roman" w:hAnsi="Times New Roman"/>
                <w:b w:val="0"/>
                <w:i w:val="0"/>
                <w:sz w:val="18"/>
              </w:rPr>
              <w:t>34</w:t>
            </w:r>
          </w:p>
        </w:tc>
        <w:tc>
          <w:tcPr>
            <w:tcW w:type="dxa" w:w="3009"/>
          </w:tcPr>
          <w:p>
            <w:r/>
            <w:r>
              <w:rPr>
                <w:rFonts w:ascii="Times New Roman" w:hAnsi="Times New Roman"/>
                <w:b w:val="0"/>
                <w:i w:val="0"/>
                <w:sz w:val="18"/>
              </w:rPr>
              <w:t>6</w:t>
            </w:r>
          </w:p>
        </w:tc>
      </w:tr>
      <w:tr>
        <w:tc>
          <w:tcPr>
            <w:tcW w:type="dxa" w:w="3009"/>
          </w:tcPr>
          <w:p>
            <w:r/>
            <w:r>
              <w:rPr>
                <w:rFonts w:ascii="Times New Roman" w:hAnsi="Times New Roman"/>
                <w:b w:val="0"/>
                <w:i w:val="0"/>
                <w:sz w:val="18"/>
              </w:rPr>
              <w:t>Ensayos aleatorizados</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5</w:t>
            </w:r>
          </w:p>
        </w:tc>
      </w:tr>
      <w:tr>
        <w:tc>
          <w:tcPr>
            <w:tcW w:type="dxa" w:w="3009"/>
          </w:tcPr>
          <w:p>
            <w:r/>
            <w:r>
              <w:rPr>
                <w:rFonts w:ascii="Times New Roman" w:hAnsi="Times New Roman"/>
                <w:b w:val="0"/>
                <w:i w:val="0"/>
                <w:sz w:val="18"/>
              </w:rPr>
              <w:t>Pacientes declarados (suma de n por brazo)</w:t>
            </w:r>
          </w:p>
        </w:tc>
        <w:tc>
          <w:tcPr>
            <w:tcW w:type="dxa" w:w="3009"/>
          </w:tcPr>
          <w:p>
            <w:r/>
            <w:r>
              <w:rPr>
                <w:rFonts w:ascii="Times New Roman" w:hAnsi="Times New Roman"/>
                <w:b w:val="0"/>
                <w:i w:val="0"/>
                <w:sz w:val="18"/>
              </w:rPr>
              <w:t>348</w:t>
            </w:r>
          </w:p>
        </w:tc>
        <w:tc>
          <w:tcPr>
            <w:tcW w:type="dxa" w:w="3009"/>
          </w:tcPr>
          <w:p>
            <w:r/>
            <w:r>
              <w:rPr>
                <w:rFonts w:ascii="Times New Roman" w:hAnsi="Times New Roman"/>
                <w:b w:val="0"/>
                <w:i w:val="0"/>
                <w:sz w:val="18"/>
              </w:rPr>
              <w:t>316</w:t>
            </w:r>
          </w:p>
        </w:tc>
      </w:tr>
    </w:tbl>
    <w:p/>
    <w:p>
      <w:pPr>
        <w:spacing w:before="240" w:after="100" w:line="240" w:lineRule="auto"/>
      </w:pPr>
      <w:r>
        <w:rPr>
          <w:rFonts w:ascii="Times New Roman" w:hAnsi="Times New Roman"/>
          <w:b w:val="0"/>
          <w:i/>
          <w:sz w:val="18"/>
        </w:rPr>
        <w:t>Tabla 4.</w:t>
      </w:r>
      <w:r>
        <w:rPr>
          <w:rFonts w:ascii="Times New Roman" w:hAnsi="Times New Roman"/>
          <w:b w:val="0"/>
          <w:i w:val="0"/>
          <w:sz w:val="18"/>
        </w:rPr>
        <w:t xml:space="preserve"> Motivos de exclusión por etapa, con el vocabulario cerrado.</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i w:val="0"/>
                <w:sz w:val="18"/>
              </w:rPr>
              <w:t>Código</w:t>
            </w:r>
          </w:p>
        </w:tc>
        <w:tc>
          <w:tcPr>
            <w:tcW w:type="dxa" w:w="1805"/>
          </w:tcPr>
          <w:p>
            <w:r/>
            <w:r>
              <w:rPr>
                <w:rFonts w:ascii="Times New Roman" w:hAnsi="Times New Roman"/>
                <w:b/>
                <w:i w:val="0"/>
                <w:sz w:val="18"/>
              </w:rPr>
              <w:t>Motivo</w:t>
            </w:r>
          </w:p>
        </w:tc>
        <w:tc>
          <w:tcPr>
            <w:tcW w:type="dxa" w:w="1805"/>
          </w:tcPr>
          <w:p>
            <w:r/>
            <w:r>
              <w:rPr>
                <w:rFonts w:ascii="Times New Roman" w:hAnsi="Times New Roman"/>
                <w:b/>
                <w:i w:val="0"/>
                <w:sz w:val="18"/>
              </w:rPr>
              <w:t>Por título</w:t>
            </w:r>
          </w:p>
        </w:tc>
        <w:tc>
          <w:tcPr>
            <w:tcW w:type="dxa" w:w="1805"/>
          </w:tcPr>
          <w:p>
            <w:r/>
            <w:r>
              <w:rPr>
                <w:rFonts w:ascii="Times New Roman" w:hAnsi="Times New Roman"/>
                <w:b/>
                <w:i w:val="0"/>
                <w:sz w:val="18"/>
              </w:rPr>
              <w:t>Por resumen</w:t>
            </w:r>
          </w:p>
        </w:tc>
        <w:tc>
          <w:tcPr>
            <w:tcW w:type="dxa" w:w="1805"/>
          </w:tcPr>
          <w:p>
            <w:r/>
            <w:r>
              <w:rPr>
                <w:rFonts w:ascii="Times New Roman" w:hAnsi="Times New Roman"/>
                <w:b/>
                <w:i w:val="0"/>
                <w:sz w:val="18"/>
              </w:rPr>
              <w:t>Total</w:t>
            </w:r>
          </w:p>
        </w:tc>
      </w:tr>
      <w:tr>
        <w:tc>
          <w:tcPr>
            <w:tcW w:type="dxa" w:w="1805"/>
          </w:tcPr>
          <w:p>
            <w:r/>
            <w:r>
              <w:rPr>
                <w:rFonts w:ascii="Times New Roman" w:hAnsi="Times New Roman"/>
                <w:b w:val="0"/>
                <w:i w:val="0"/>
                <w:sz w:val="18"/>
              </w:rPr>
              <w:t>ORG</w:t>
            </w:r>
          </w:p>
        </w:tc>
        <w:tc>
          <w:tcPr>
            <w:tcW w:type="dxa" w:w="1805"/>
          </w:tcPr>
          <w:p>
            <w:r/>
            <w:r>
              <w:rPr>
                <w:rFonts w:ascii="Times New Roman" w:hAnsi="Times New Roman"/>
                <w:b w:val="0"/>
                <w:i w:val="0"/>
                <w:sz w:val="18"/>
              </w:rPr>
              <w:t xml:space="preserve">Organismo distinto de </w:t>
            </w:r>
            <w:r>
              <w:rPr>
                <w:rFonts w:ascii="Times New Roman" w:hAnsi="Times New Roman"/>
                <w:b w:val="0"/>
                <w:i/>
                <w:sz w:val="18"/>
              </w:rPr>
              <w:t>P. aeruginosa</w:t>
            </w:r>
            <w:r>
              <w:rPr>
                <w:rFonts w:ascii="Times New Roman" w:hAnsi="Times New Roman"/>
                <w:b w:val="0"/>
                <w:i w:val="0"/>
                <w:sz w:val="18"/>
              </w:rPr>
              <w:t>, sin subgrupo separable</w:t>
            </w:r>
          </w:p>
        </w:tc>
        <w:tc>
          <w:tcPr>
            <w:tcW w:type="dxa" w:w="1805"/>
          </w:tcPr>
          <w:p>
            <w:r/>
            <w:r>
              <w:rPr>
                <w:rFonts w:ascii="Times New Roman" w:hAnsi="Times New Roman"/>
                <w:b w:val="0"/>
                <w:i w:val="0"/>
                <w:sz w:val="18"/>
              </w:rPr>
              <w:t>3022</w:t>
            </w:r>
          </w:p>
        </w:tc>
        <w:tc>
          <w:tcPr>
            <w:tcW w:type="dxa" w:w="1805"/>
          </w:tcPr>
          <w:p>
            <w:r/>
            <w:r>
              <w:rPr>
                <w:rFonts w:ascii="Times New Roman" w:hAnsi="Times New Roman"/>
                <w:b w:val="0"/>
                <w:i w:val="0"/>
                <w:sz w:val="18"/>
              </w:rPr>
              <w:t>65</w:t>
            </w:r>
          </w:p>
        </w:tc>
        <w:tc>
          <w:tcPr>
            <w:tcW w:type="dxa" w:w="1805"/>
          </w:tcPr>
          <w:p>
            <w:r/>
            <w:r>
              <w:rPr>
                <w:rFonts w:ascii="Times New Roman" w:hAnsi="Times New Roman"/>
                <w:b w:val="0"/>
                <w:i w:val="0"/>
                <w:sz w:val="18"/>
              </w:rPr>
              <w:t>3087</w:t>
            </w:r>
          </w:p>
        </w:tc>
      </w:tr>
      <w:tr>
        <w:tc>
          <w:tcPr>
            <w:tcW w:type="dxa" w:w="1805"/>
          </w:tcPr>
          <w:p>
            <w:r/>
            <w:r>
              <w:rPr>
                <w:rFonts w:ascii="Times New Roman" w:hAnsi="Times New Roman"/>
                <w:b w:val="0"/>
                <w:i w:val="0"/>
                <w:sz w:val="18"/>
              </w:rPr>
              <w:t>REV</w:t>
            </w:r>
          </w:p>
        </w:tc>
        <w:tc>
          <w:tcPr>
            <w:tcW w:type="dxa" w:w="1805"/>
          </w:tcPr>
          <w:p>
            <w:r/>
            <w:r>
              <w:rPr>
                <w:rFonts w:ascii="Times New Roman" w:hAnsi="Times New Roman"/>
                <w:b w:val="0"/>
                <w:i w:val="0"/>
                <w:sz w:val="18"/>
              </w:rPr>
              <w:t>Revisión narrativa o comentario, sin datos primarios propios</w:t>
            </w:r>
          </w:p>
        </w:tc>
        <w:tc>
          <w:tcPr>
            <w:tcW w:type="dxa" w:w="1805"/>
          </w:tcPr>
          <w:p>
            <w:r/>
            <w:r>
              <w:rPr>
                <w:rFonts w:ascii="Times New Roman" w:hAnsi="Times New Roman"/>
                <w:b w:val="0"/>
                <w:i w:val="0"/>
                <w:sz w:val="18"/>
              </w:rPr>
              <w:t>2803</w:t>
            </w:r>
          </w:p>
        </w:tc>
        <w:tc>
          <w:tcPr>
            <w:tcW w:type="dxa" w:w="1805"/>
          </w:tcPr>
          <w:p>
            <w:r/>
            <w:r>
              <w:rPr>
                <w:rFonts w:ascii="Times New Roman" w:hAnsi="Times New Roman"/>
                <w:b w:val="0"/>
                <w:i w:val="0"/>
                <w:sz w:val="18"/>
              </w:rPr>
              <w:t>64</w:t>
            </w:r>
          </w:p>
        </w:tc>
        <w:tc>
          <w:tcPr>
            <w:tcW w:type="dxa" w:w="1805"/>
          </w:tcPr>
          <w:p>
            <w:r/>
            <w:r>
              <w:rPr>
                <w:rFonts w:ascii="Times New Roman" w:hAnsi="Times New Roman"/>
                <w:b w:val="0"/>
                <w:i w:val="0"/>
                <w:sz w:val="18"/>
              </w:rPr>
              <w:t>2867</w:t>
            </w:r>
          </w:p>
        </w:tc>
      </w:tr>
      <w:tr>
        <w:tc>
          <w:tcPr>
            <w:tcW w:type="dxa" w:w="1805"/>
          </w:tcPr>
          <w:p>
            <w:r/>
            <w:r>
              <w:rPr>
                <w:rFonts w:ascii="Times New Roman" w:hAnsi="Times New Roman"/>
                <w:b w:val="0"/>
                <w:i w:val="0"/>
                <w:sz w:val="18"/>
              </w:rPr>
              <w:t>SEC</w:t>
            </w:r>
          </w:p>
        </w:tc>
        <w:tc>
          <w:tcPr>
            <w:tcW w:type="dxa" w:w="1805"/>
          </w:tcPr>
          <w:p>
            <w:r/>
            <w:r>
              <w:rPr>
                <w:rFonts w:ascii="Times New Roman" w:hAnsi="Times New Roman"/>
                <w:b w:val="0"/>
                <w:i w:val="0"/>
                <w:sz w:val="18"/>
              </w:rPr>
              <w:t>Síntesis secundaria (revisión sistemática o scoping)</w:t>
            </w:r>
          </w:p>
        </w:tc>
        <w:tc>
          <w:tcPr>
            <w:tcW w:type="dxa" w:w="1805"/>
          </w:tcPr>
          <w:p>
            <w:r/>
            <w:r>
              <w:rPr>
                <w:rFonts w:ascii="Times New Roman" w:hAnsi="Times New Roman"/>
                <w:b w:val="0"/>
                <w:i w:val="0"/>
                <w:sz w:val="18"/>
              </w:rPr>
              <w:t>84</w:t>
            </w:r>
          </w:p>
        </w:tc>
        <w:tc>
          <w:tcPr>
            <w:tcW w:type="dxa" w:w="1805"/>
          </w:tcPr>
          <w:p>
            <w:r/>
            <w:r>
              <w:rPr>
                <w:rFonts w:ascii="Times New Roman" w:hAnsi="Times New Roman"/>
                <w:b w:val="0"/>
                <w:i w:val="0"/>
                <w:sz w:val="18"/>
              </w:rPr>
              <w:t>5</w:t>
            </w:r>
          </w:p>
        </w:tc>
        <w:tc>
          <w:tcPr>
            <w:tcW w:type="dxa" w:w="1805"/>
          </w:tcPr>
          <w:p>
            <w:r/>
            <w:r>
              <w:rPr>
                <w:rFonts w:ascii="Times New Roman" w:hAnsi="Times New Roman"/>
                <w:b w:val="0"/>
                <w:i w:val="0"/>
                <w:sz w:val="18"/>
              </w:rPr>
              <w:t>89</w:t>
            </w:r>
          </w:p>
        </w:tc>
      </w:tr>
      <w:tr>
        <w:tc>
          <w:tcPr>
            <w:tcW w:type="dxa" w:w="1805"/>
          </w:tcPr>
          <w:p>
            <w:r/>
            <w:r>
              <w:rPr>
                <w:rFonts w:ascii="Times New Roman" w:hAnsi="Times New Roman"/>
                <w:b w:val="0"/>
                <w:i w:val="0"/>
                <w:sz w:val="18"/>
              </w:rPr>
              <w:t>LAB</w:t>
            </w:r>
          </w:p>
        </w:tc>
        <w:tc>
          <w:tcPr>
            <w:tcW w:type="dxa" w:w="1805"/>
          </w:tcPr>
          <w:p>
            <w:r/>
            <w:r>
              <w:rPr>
                <w:rFonts w:ascii="Times New Roman" w:hAnsi="Times New Roman"/>
                <w:b w:val="0"/>
                <w:i w:val="0"/>
                <w:sz w:val="18"/>
              </w:rPr>
              <w:t>Trabajo de laboratorio, preclínico o de modelización; sin pacientes tratados</w:t>
            </w:r>
          </w:p>
        </w:tc>
        <w:tc>
          <w:tcPr>
            <w:tcW w:type="dxa" w:w="1805"/>
          </w:tcPr>
          <w:p>
            <w:r/>
            <w:r>
              <w:rPr>
                <w:rFonts w:ascii="Times New Roman" w:hAnsi="Times New Roman"/>
                <w:b w:val="0"/>
                <w:i w:val="0"/>
                <w:sz w:val="18"/>
              </w:rPr>
              <w:t>4060</w:t>
            </w:r>
          </w:p>
        </w:tc>
        <w:tc>
          <w:tcPr>
            <w:tcW w:type="dxa" w:w="1805"/>
          </w:tcPr>
          <w:p>
            <w:r/>
            <w:r>
              <w:rPr>
                <w:rFonts w:ascii="Times New Roman" w:hAnsi="Times New Roman"/>
                <w:b w:val="0"/>
                <w:i w:val="0"/>
                <w:sz w:val="18"/>
              </w:rPr>
              <w:t>18</w:t>
            </w:r>
          </w:p>
        </w:tc>
        <w:tc>
          <w:tcPr>
            <w:tcW w:type="dxa" w:w="1805"/>
          </w:tcPr>
          <w:p>
            <w:r/>
            <w:r>
              <w:rPr>
                <w:rFonts w:ascii="Times New Roman" w:hAnsi="Times New Roman"/>
                <w:b w:val="0"/>
                <w:i w:val="0"/>
                <w:sz w:val="18"/>
              </w:rPr>
              <w:t>4078</w:t>
            </w:r>
          </w:p>
        </w:tc>
      </w:tr>
      <w:tr>
        <w:tc>
          <w:tcPr>
            <w:tcW w:type="dxa" w:w="1805"/>
          </w:tcPr>
          <w:p>
            <w:r/>
            <w:r>
              <w:rPr>
                <w:rFonts w:ascii="Times New Roman" w:hAnsi="Times New Roman"/>
                <w:b w:val="0"/>
                <w:i w:val="0"/>
                <w:sz w:val="18"/>
              </w:rPr>
              <w:t>VET</w:t>
            </w:r>
          </w:p>
        </w:tc>
        <w:tc>
          <w:tcPr>
            <w:tcW w:type="dxa" w:w="1805"/>
          </w:tcPr>
          <w:p>
            <w:r/>
            <w:r>
              <w:rPr>
                <w:rFonts w:ascii="Times New Roman" w:hAnsi="Times New Roman"/>
                <w:b w:val="0"/>
                <w:i w:val="0"/>
                <w:sz w:val="18"/>
              </w:rPr>
              <w:t>Aislados o infección veterinaria, no humana</w:t>
            </w:r>
          </w:p>
        </w:tc>
        <w:tc>
          <w:tcPr>
            <w:tcW w:type="dxa" w:w="1805"/>
          </w:tcPr>
          <w:p>
            <w:r/>
            <w:r>
              <w:rPr>
                <w:rFonts w:ascii="Times New Roman" w:hAnsi="Times New Roman"/>
                <w:b w:val="0"/>
                <w:i w:val="0"/>
                <w:sz w:val="18"/>
              </w:rPr>
              <w:t>834</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834</w:t>
            </w:r>
          </w:p>
        </w:tc>
      </w:tr>
      <w:tr>
        <w:tc>
          <w:tcPr>
            <w:tcW w:type="dxa" w:w="1805"/>
          </w:tcPr>
          <w:p>
            <w:r/>
            <w:r>
              <w:rPr>
                <w:rFonts w:ascii="Times New Roman" w:hAnsi="Times New Roman"/>
                <w:b w:val="0"/>
                <w:i w:val="0"/>
                <w:sz w:val="18"/>
              </w:rPr>
              <w:t>OFF</w:t>
            </w:r>
          </w:p>
        </w:tc>
        <w:tc>
          <w:tcPr>
            <w:tcW w:type="dxa" w:w="1805"/>
          </w:tcPr>
          <w:p>
            <w:r/>
            <w:r>
              <w:rPr>
                <w:rFonts w:ascii="Times New Roman" w:hAnsi="Times New Roman"/>
                <w:b w:val="0"/>
                <w:i w:val="0"/>
                <w:sz w:val="18"/>
              </w:rPr>
              <w:t>No evalúa fagoterapia en pacientes (encuesta, epidemiología, prensa, otra terapia)</w:t>
            </w:r>
          </w:p>
        </w:tc>
        <w:tc>
          <w:tcPr>
            <w:tcW w:type="dxa" w:w="1805"/>
          </w:tcPr>
          <w:p>
            <w:r/>
            <w:r>
              <w:rPr>
                <w:rFonts w:ascii="Times New Roman" w:hAnsi="Times New Roman"/>
                <w:b w:val="0"/>
                <w:i w:val="0"/>
                <w:sz w:val="18"/>
              </w:rPr>
              <w:t>2631</w:t>
            </w:r>
          </w:p>
        </w:tc>
        <w:tc>
          <w:tcPr>
            <w:tcW w:type="dxa" w:w="1805"/>
          </w:tcPr>
          <w:p>
            <w:r/>
            <w:r>
              <w:rPr>
                <w:rFonts w:ascii="Times New Roman" w:hAnsi="Times New Roman"/>
                <w:b w:val="0"/>
                <w:i w:val="0"/>
                <w:sz w:val="18"/>
              </w:rPr>
              <w:t>40</w:t>
            </w:r>
          </w:p>
        </w:tc>
        <w:tc>
          <w:tcPr>
            <w:tcW w:type="dxa" w:w="1805"/>
          </w:tcPr>
          <w:p>
            <w:r/>
            <w:r>
              <w:rPr>
                <w:rFonts w:ascii="Times New Roman" w:hAnsi="Times New Roman"/>
                <w:b w:val="0"/>
                <w:i w:val="0"/>
                <w:sz w:val="18"/>
              </w:rPr>
              <w:t>2671</w:t>
            </w:r>
          </w:p>
        </w:tc>
      </w:tr>
      <w:tr>
        <w:tc>
          <w:tcPr>
            <w:tcW w:type="dxa" w:w="1805"/>
          </w:tcPr>
          <w:p>
            <w:r/>
            <w:r>
              <w:rPr>
                <w:rFonts w:ascii="Times New Roman" w:hAnsi="Times New Roman"/>
                <w:b w:val="0"/>
                <w:i w:val="0"/>
                <w:sz w:val="18"/>
              </w:rPr>
              <w:t>IDI</w:t>
            </w:r>
          </w:p>
        </w:tc>
        <w:tc>
          <w:tcPr>
            <w:tcW w:type="dxa" w:w="1805"/>
          </w:tcPr>
          <w:p>
            <w:r/>
            <w:r>
              <w:rPr>
                <w:rFonts w:ascii="Times New Roman" w:hAnsi="Times New Roman"/>
                <w:b w:val="0"/>
                <w:i w:val="0"/>
                <w:sz w:val="18"/>
              </w:rPr>
              <w:t>Informe no redactado en inglés ni en español (enmienda)</w:t>
            </w:r>
          </w:p>
        </w:tc>
        <w:tc>
          <w:tcPr>
            <w:tcW w:type="dxa" w:w="1805"/>
          </w:tcPr>
          <w:p>
            <w:r/>
            <w:r>
              <w:rPr>
                <w:rFonts w:ascii="Times New Roman" w:hAnsi="Times New Roman"/>
                <w:b w:val="0"/>
                <w:i w:val="0"/>
                <w:sz w:val="18"/>
              </w:rPr>
              <w:t>0</w:t>
            </w:r>
          </w:p>
        </w:tc>
        <w:tc>
          <w:tcPr>
            <w:tcW w:type="dxa" w:w="1805"/>
          </w:tcPr>
          <w:p>
            <w:r/>
            <w:r>
              <w:rPr>
                <w:rFonts w:ascii="Times New Roman" w:hAnsi="Times New Roman"/>
                <w:b w:val="0"/>
                <w:i w:val="0"/>
                <w:sz w:val="18"/>
              </w:rPr>
              <w:t>35</w:t>
            </w:r>
          </w:p>
        </w:tc>
        <w:tc>
          <w:tcPr>
            <w:tcW w:type="dxa" w:w="1805"/>
          </w:tcPr>
          <w:p>
            <w:r/>
            <w:r>
              <w:rPr>
                <w:rFonts w:ascii="Times New Roman" w:hAnsi="Times New Roman"/>
                <w:b w:val="0"/>
                <w:i w:val="0"/>
                <w:sz w:val="18"/>
              </w:rPr>
              <w:t>35</w:t>
            </w:r>
          </w:p>
        </w:tc>
      </w:tr>
      <w:tr>
        <w:tc>
          <w:tcPr>
            <w:tcW w:type="dxa" w:w="1805"/>
          </w:tcPr>
          <w:p>
            <w:r/>
          </w:p>
        </w:tc>
        <w:tc>
          <w:tcPr>
            <w:tcW w:type="dxa" w:w="1805"/>
          </w:tcPr>
          <w:p>
            <w:r/>
            <w:r>
              <w:rPr>
                <w:rFonts w:ascii="Times New Roman" w:hAnsi="Times New Roman"/>
                <w:b w:val="0"/>
                <w:i/>
                <w:sz w:val="18"/>
              </w:rPr>
              <w:t>Total</w:t>
            </w:r>
          </w:p>
        </w:tc>
        <w:tc>
          <w:tcPr>
            <w:tcW w:type="dxa" w:w="1805"/>
          </w:tcPr>
          <w:p>
            <w:r/>
            <w:r>
              <w:rPr>
                <w:rFonts w:ascii="Times New Roman" w:hAnsi="Times New Roman"/>
                <w:b w:val="0"/>
                <w:i w:val="0"/>
                <w:sz w:val="18"/>
              </w:rPr>
              <w:t>13434</w:t>
            </w:r>
          </w:p>
        </w:tc>
        <w:tc>
          <w:tcPr>
            <w:tcW w:type="dxa" w:w="1805"/>
          </w:tcPr>
          <w:p>
            <w:r/>
            <w:r>
              <w:rPr>
                <w:rFonts w:ascii="Times New Roman" w:hAnsi="Times New Roman"/>
                <w:b w:val="0"/>
                <w:i w:val="0"/>
                <w:sz w:val="18"/>
              </w:rPr>
              <w:t>227</w:t>
            </w:r>
          </w:p>
        </w:tc>
        <w:tc>
          <w:tcPr>
            <w:tcW w:type="dxa" w:w="1805"/>
          </w:tcPr>
          <w:p>
            <w:r/>
            <w:r>
              <w:rPr>
                <w:rFonts w:ascii="Times New Roman" w:hAnsi="Times New Roman"/>
                <w:b w:val="0"/>
                <w:i w:val="0"/>
                <w:sz w:val="18"/>
              </w:rPr>
              <w:t>13661</w:t>
            </w:r>
          </w:p>
        </w:tc>
      </w:tr>
    </w:tbl>
    <w:p/>
    <w:p>
      <w:pPr>
        <w:spacing w:before="240" w:after="100" w:line="240" w:lineRule="auto"/>
      </w:pPr>
      <w:r>
        <w:rPr>
          <w:rFonts w:ascii="Times New Roman" w:hAnsi="Times New Roman"/>
          <w:b w:val="0"/>
          <w:i/>
          <w:sz w:val="18"/>
        </w:rPr>
        <w:t>Tabla 5.</w:t>
      </w:r>
      <w:r>
        <w:rPr>
          <w:rFonts w:ascii="Times New Roman" w:hAnsi="Times New Roman"/>
          <w:b w:val="0"/>
          <w:i w:val="0"/>
          <w:sz w:val="18"/>
        </w:rPr>
        <w:t xml:space="preserve"> Completitud de reporte de los cinco desenlaces declarados, sobre la extracción adjudicada (n = 73 brazos).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tcPr>
          <w:p>
            <w:r/>
            <w:r>
              <w:rPr>
                <w:rFonts w:ascii="Times New Roman" w:hAnsi="Times New Roman"/>
                <w:b/>
                <w:i w:val="0"/>
                <w:sz w:val="18"/>
              </w:rPr>
              <w:t>Desenlace</w:t>
            </w:r>
          </w:p>
        </w:tc>
        <w:tc>
          <w:tcPr>
            <w:tcW w:type="dxa" w:w="2256"/>
          </w:tcPr>
          <w:p>
            <w:r/>
            <w:r>
              <w:rPr>
                <w:rFonts w:ascii="Times New Roman" w:hAnsi="Times New Roman"/>
                <w:b/>
                <w:i w:val="0"/>
                <w:sz w:val="18"/>
              </w:rPr>
              <w:t>Con numerador y denominador</w:t>
            </w:r>
          </w:p>
        </w:tc>
        <w:tc>
          <w:tcPr>
            <w:tcW w:type="dxa" w:w="2256"/>
          </w:tcPr>
          <w:p>
            <w:r/>
            <w:r>
              <w:rPr>
                <w:rFonts w:ascii="Times New Roman" w:hAnsi="Times New Roman"/>
                <w:b/>
                <w:i w:val="0"/>
                <w:sz w:val="18"/>
              </w:rPr>
              <w:t>% de los 73 brazos</w:t>
            </w:r>
          </w:p>
        </w:tc>
        <w:tc>
          <w:tcPr>
            <w:tcW w:type="dxa" w:w="2256"/>
          </w:tcPr>
          <w:p>
            <w:r/>
            <w:r>
              <w:rPr>
                <w:rFonts w:ascii="Times New Roman" w:hAnsi="Times New Roman"/>
                <w:b/>
                <w:i w:val="0"/>
                <w:sz w:val="18"/>
              </w:rPr>
              <w:t>% con doble lectura</w:t>
            </w:r>
          </w:p>
        </w:tc>
      </w:tr>
      <w:tr>
        <w:tc>
          <w:tcPr>
            <w:tcW w:type="dxa" w:w="2256"/>
          </w:tcPr>
          <w:p>
            <w:r/>
            <w:r>
              <w:rPr>
                <w:rFonts w:ascii="Times New Roman" w:hAnsi="Times New Roman"/>
                <w:b w:val="0"/>
                <w:i w:val="0"/>
                <w:sz w:val="18"/>
              </w:rPr>
              <w:t>Éxito clínico</w:t>
            </w:r>
          </w:p>
        </w:tc>
        <w:tc>
          <w:tcPr>
            <w:tcW w:type="dxa" w:w="2256"/>
          </w:tcPr>
          <w:p>
            <w:r/>
            <w:r>
              <w:rPr>
                <w:rFonts w:ascii="Times New Roman" w:hAnsi="Times New Roman"/>
                <w:b w:val="0"/>
                <w:i w:val="0"/>
                <w:sz w:val="18"/>
              </w:rPr>
              <w:t>64</w:t>
            </w:r>
          </w:p>
        </w:tc>
        <w:tc>
          <w:tcPr>
            <w:tcW w:type="dxa" w:w="2256"/>
          </w:tcPr>
          <w:p>
            <w:r/>
            <w:r>
              <w:rPr>
                <w:rFonts w:ascii="Times New Roman" w:hAnsi="Times New Roman"/>
                <w:b w:val="0"/>
                <w:i w:val="0"/>
                <w:sz w:val="18"/>
              </w:rPr>
              <w:t>87.7</w:t>
            </w:r>
          </w:p>
        </w:tc>
        <w:tc>
          <w:tcPr>
            <w:tcW w:type="dxa" w:w="2256"/>
          </w:tcPr>
          <w:p>
            <w:r/>
            <w:r>
              <w:rPr>
                <w:rFonts w:ascii="Times New Roman" w:hAnsi="Times New Roman"/>
                <w:b w:val="0"/>
                <w:i w:val="0"/>
                <w:sz w:val="18"/>
              </w:rPr>
              <w:t>98.4</w:t>
            </w:r>
          </w:p>
        </w:tc>
      </w:tr>
      <w:tr>
        <w:tc>
          <w:tcPr>
            <w:tcW w:type="dxa" w:w="2256"/>
          </w:tcPr>
          <w:p>
            <w:r/>
            <w:r>
              <w:rPr>
                <w:rFonts w:ascii="Times New Roman" w:hAnsi="Times New Roman"/>
                <w:b w:val="0"/>
                <w:i w:val="0"/>
                <w:sz w:val="18"/>
              </w:rPr>
              <w:t>Erradicación microbiológica</w:t>
            </w:r>
          </w:p>
        </w:tc>
        <w:tc>
          <w:tcPr>
            <w:tcW w:type="dxa" w:w="2256"/>
          </w:tcPr>
          <w:p>
            <w:r/>
            <w:r>
              <w:rPr>
                <w:rFonts w:ascii="Times New Roman" w:hAnsi="Times New Roman"/>
                <w:b w:val="0"/>
                <w:i w:val="0"/>
                <w:sz w:val="18"/>
              </w:rPr>
              <w:t>53</w:t>
            </w:r>
          </w:p>
        </w:tc>
        <w:tc>
          <w:tcPr>
            <w:tcW w:type="dxa" w:w="2256"/>
          </w:tcPr>
          <w:p>
            <w:r/>
            <w:r>
              <w:rPr>
                <w:rFonts w:ascii="Times New Roman" w:hAnsi="Times New Roman"/>
                <w:b w:val="0"/>
                <w:i w:val="0"/>
                <w:sz w:val="18"/>
              </w:rPr>
              <w:t>72.6</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Mortalidad</w:t>
            </w:r>
          </w:p>
        </w:tc>
        <w:tc>
          <w:tcPr>
            <w:tcW w:type="dxa" w:w="2256"/>
          </w:tcPr>
          <w:p>
            <w:r/>
            <w:r>
              <w:rPr>
                <w:rFonts w:ascii="Times New Roman" w:hAnsi="Times New Roman"/>
                <w:b w:val="0"/>
                <w:i w:val="0"/>
                <w:sz w:val="18"/>
              </w:rPr>
              <w:t>66</w:t>
            </w:r>
          </w:p>
        </w:tc>
        <w:tc>
          <w:tcPr>
            <w:tcW w:type="dxa" w:w="2256"/>
          </w:tcPr>
          <w:p>
            <w:r/>
            <w:r>
              <w:rPr>
                <w:rFonts w:ascii="Times New Roman" w:hAnsi="Times New Roman"/>
                <w:b w:val="0"/>
                <w:i w:val="0"/>
                <w:sz w:val="18"/>
              </w:rPr>
              <w:t>90.4</w:t>
            </w:r>
          </w:p>
        </w:tc>
        <w:tc>
          <w:tcPr>
            <w:tcW w:type="dxa" w:w="2256"/>
          </w:tcPr>
          <w:p>
            <w:r/>
            <w:r>
              <w:rPr>
                <w:rFonts w:ascii="Times New Roman" w:hAnsi="Times New Roman"/>
                <w:b w:val="0"/>
                <w:i w:val="0"/>
                <w:sz w:val="18"/>
              </w:rPr>
              <w:t>98.5</w:t>
            </w:r>
          </w:p>
        </w:tc>
      </w:tr>
      <w:tr>
        <w:tc>
          <w:tcPr>
            <w:tcW w:type="dxa" w:w="2256"/>
          </w:tcPr>
          <w:p>
            <w:r/>
            <w:r>
              <w:rPr>
                <w:rFonts w:ascii="Times New Roman" w:hAnsi="Times New Roman"/>
                <w:b w:val="0"/>
                <w:i w:val="0"/>
                <w:sz w:val="18"/>
              </w:rPr>
              <w:t>Eventos adversos</w:t>
            </w:r>
          </w:p>
        </w:tc>
        <w:tc>
          <w:tcPr>
            <w:tcW w:type="dxa" w:w="2256"/>
          </w:tcPr>
          <w:p>
            <w:r/>
            <w:r>
              <w:rPr>
                <w:rFonts w:ascii="Times New Roman" w:hAnsi="Times New Roman"/>
                <w:b w:val="0"/>
                <w:i w:val="0"/>
                <w:sz w:val="18"/>
              </w:rPr>
              <w:t>65</w:t>
            </w:r>
          </w:p>
        </w:tc>
        <w:tc>
          <w:tcPr>
            <w:tcW w:type="dxa" w:w="2256"/>
          </w:tcPr>
          <w:p>
            <w:r/>
            <w:r>
              <w:rPr>
                <w:rFonts w:ascii="Times New Roman" w:hAnsi="Times New Roman"/>
                <w:b w:val="0"/>
                <w:i w:val="0"/>
                <w:sz w:val="18"/>
              </w:rPr>
              <w:t>89.0</w:t>
            </w:r>
          </w:p>
        </w:tc>
        <w:tc>
          <w:tcPr>
            <w:tcW w:type="dxa" w:w="2256"/>
          </w:tcPr>
          <w:p>
            <w:r/>
            <w:r>
              <w:rPr>
                <w:rFonts w:ascii="Times New Roman" w:hAnsi="Times New Roman"/>
                <w:b w:val="0"/>
                <w:i w:val="0"/>
                <w:sz w:val="18"/>
              </w:rPr>
              <w:t>100.0</w:t>
            </w:r>
          </w:p>
        </w:tc>
      </w:tr>
      <w:tr>
        <w:tc>
          <w:tcPr>
            <w:tcW w:type="dxa" w:w="2256"/>
          </w:tcPr>
          <w:p>
            <w:r/>
            <w:r>
              <w:rPr>
                <w:rFonts w:ascii="Times New Roman" w:hAnsi="Times New Roman"/>
                <w:b w:val="0"/>
                <w:i w:val="0"/>
                <w:sz w:val="18"/>
              </w:rPr>
              <w:t>Emergencia de resistencia al fago</w:t>
            </w:r>
          </w:p>
        </w:tc>
        <w:tc>
          <w:tcPr>
            <w:tcW w:type="dxa" w:w="2256"/>
          </w:tcPr>
          <w:p>
            <w:r/>
            <w:r>
              <w:rPr>
                <w:rFonts w:ascii="Times New Roman" w:hAnsi="Times New Roman"/>
                <w:b w:val="0"/>
                <w:i w:val="0"/>
                <w:sz w:val="18"/>
              </w:rPr>
              <w:t>26</w:t>
            </w:r>
          </w:p>
        </w:tc>
        <w:tc>
          <w:tcPr>
            <w:tcW w:type="dxa" w:w="2256"/>
          </w:tcPr>
          <w:p>
            <w:r/>
            <w:r>
              <w:rPr>
                <w:rFonts w:ascii="Times New Roman" w:hAnsi="Times New Roman"/>
                <w:b w:val="0"/>
                <w:i w:val="0"/>
                <w:sz w:val="18"/>
              </w:rPr>
              <w:t>35.6</w:t>
            </w:r>
          </w:p>
        </w:tc>
        <w:tc>
          <w:tcPr>
            <w:tcW w:type="dxa" w:w="2256"/>
          </w:tcPr>
          <w:p>
            <w:r/>
            <w:r>
              <w:rPr>
                <w:rFonts w:ascii="Times New Roman" w:hAnsi="Times New Roman"/>
                <w:b w:val="0"/>
                <w:i w:val="0"/>
                <w:sz w:val="18"/>
              </w:rPr>
              <w:t>57.7</w:t>
            </w:r>
          </w:p>
        </w:tc>
      </w:tr>
    </w:tbl>
    <w:p/>
    <w:p>
      <w:pPr>
        <w:spacing w:before="240" w:after="100" w:line="240" w:lineRule="auto"/>
      </w:pPr>
      <w:r>
        <w:rPr>
          <w:rFonts w:ascii="Times New Roman" w:hAnsi="Times New Roman"/>
          <w:b w:val="0"/>
          <w:i/>
          <w:sz w:val="18"/>
        </w:rPr>
        <w:t>Tabla 6.</w:t>
      </w:r>
      <w:r>
        <w:rPr>
          <w:rFonts w:ascii="Times New Roman" w:hAnsi="Times New Roman"/>
          <w:b w:val="0"/>
          <w:i w:val="0"/>
          <w:sz w:val="18"/>
        </w:rPr>
        <w:t xml:space="preserve"> Brazos que sobreviven a cada requisito de una proporción agrupada de éxito clínico (n = 73 brazos).</w:t>
      </w:r>
    </w:p>
    <w:tbl>
      <w:tblPr>
        <w:tblStyle w:val="TableGrid"/>
        <w:tblW w:type="auto" w:w="0"/>
        <w:jc w:val="center"/>
        <w:tblLook w:firstColumn="1" w:firstRow="1" w:lastColumn="0" w:lastRow="0" w:noHBand="0" w:noVBand="1" w:val="04A0"/>
      </w:tblPr>
      <w:tblGrid>
        <w:gridCol w:w="3009"/>
        <w:gridCol w:w="3009"/>
        <w:gridCol w:w="3009"/>
      </w:tblGrid>
      <w:tr>
        <w:tc>
          <w:tcPr>
            <w:tcW w:type="dxa" w:w="3009"/>
          </w:tcPr>
          <w:p>
            <w:r/>
            <w:r>
              <w:rPr>
                <w:rFonts w:ascii="Times New Roman" w:hAnsi="Times New Roman"/>
                <w:b/>
                <w:i w:val="0"/>
                <w:sz w:val="18"/>
              </w:rPr>
              <w:t>Requisito acumulado</w:t>
            </w:r>
          </w:p>
        </w:tc>
        <w:tc>
          <w:tcPr>
            <w:tcW w:type="dxa" w:w="3009"/>
          </w:tcPr>
          <w:p>
            <w:r/>
            <w:r>
              <w:rPr>
                <w:rFonts w:ascii="Times New Roman" w:hAnsi="Times New Roman"/>
                <w:b/>
                <w:i w:val="0"/>
                <w:sz w:val="18"/>
              </w:rPr>
              <w:t>Efecto comparativo: brazos que quedan</w:t>
            </w:r>
          </w:p>
        </w:tc>
        <w:tc>
          <w:tcPr>
            <w:tcW w:type="dxa" w:w="3009"/>
          </w:tcPr>
          <w:p>
            <w:r/>
            <w:r>
              <w:rPr>
                <w:rFonts w:ascii="Times New Roman" w:hAnsi="Times New Roman"/>
                <w:b/>
                <w:i w:val="0"/>
                <w:sz w:val="18"/>
              </w:rPr>
              <w:t>Proporción descriptiva: brazos que quedan</w:t>
            </w:r>
          </w:p>
        </w:tc>
      </w:tr>
      <w:tr>
        <w:tc>
          <w:tcPr>
            <w:tcW w:type="dxa" w:w="3009"/>
          </w:tcPr>
          <w:p>
            <w:r/>
            <w:r>
              <w:rPr>
                <w:rFonts w:ascii="Times New Roman" w:hAnsi="Times New Roman"/>
                <w:b w:val="0"/>
                <w:i w:val="0"/>
                <w:sz w:val="18"/>
              </w:rPr>
              <w:t>Brazos extraídos</w:t>
            </w:r>
          </w:p>
        </w:tc>
        <w:tc>
          <w:tcPr>
            <w:tcW w:type="dxa" w:w="3009"/>
          </w:tcPr>
          <w:p>
            <w:r/>
            <w:r>
              <w:rPr>
                <w:rFonts w:ascii="Times New Roman" w:hAnsi="Times New Roman"/>
                <w:b w:val="0"/>
                <w:i w:val="0"/>
                <w:sz w:val="18"/>
              </w:rPr>
              <w:t>73</w:t>
            </w:r>
          </w:p>
        </w:tc>
        <w:tc>
          <w:tcPr>
            <w:tcW w:type="dxa" w:w="3009"/>
          </w:tcPr>
          <w:p>
            <w:r/>
            <w:r>
              <w:rPr>
                <w:rFonts w:ascii="Times New Roman" w:hAnsi="Times New Roman"/>
                <w:b w:val="0"/>
                <w:i w:val="0"/>
                <w:sz w:val="18"/>
              </w:rPr>
              <w:t>73 (65 estudios)</w:t>
            </w:r>
          </w:p>
        </w:tc>
      </w:tr>
      <w:tr>
        <w:tc>
          <w:tcPr>
            <w:tcW w:type="dxa" w:w="3009"/>
          </w:tcPr>
          <w:p>
            <w:r/>
            <w:r>
              <w:rPr>
                <w:rFonts w:ascii="Times New Roman" w:hAnsi="Times New Roman"/>
                <w:b w:val="0"/>
                <w:i w:val="0"/>
                <w:sz w:val="18"/>
              </w:rPr>
              <w:t>Diseño comparativo</w:t>
            </w:r>
          </w:p>
        </w:tc>
        <w:tc>
          <w:tcPr>
            <w:tcW w:type="dxa" w:w="3009"/>
          </w:tcPr>
          <w:p>
            <w:r/>
            <w:r>
              <w:rPr>
                <w:rFonts w:ascii="Times New Roman" w:hAnsi="Times New Roman"/>
                <w:b w:val="0"/>
                <w:i w:val="0"/>
                <w:sz w:val="18"/>
              </w:rPr>
              <w:t>12</w:t>
            </w:r>
          </w:p>
        </w:tc>
        <w:tc>
          <w:tcPr>
            <w:tcW w:type="dxa" w:w="3009"/>
          </w:tcPr>
          <w:p>
            <w:r/>
            <w:r>
              <w:rPr>
                <w:rFonts w:ascii="Times New Roman" w:hAnsi="Times New Roman"/>
                <w:b w:val="0"/>
                <w:i w:val="0"/>
                <w:sz w:val="18"/>
              </w:rPr>
              <w:t>no se aplica</w:t>
            </w:r>
          </w:p>
        </w:tc>
      </w:tr>
      <w:tr>
        <w:tc>
          <w:tcPr>
            <w:tcW w:type="dxa" w:w="3009"/>
          </w:tcPr>
          <w:p>
            <w:r/>
            <w:r>
              <w:rPr>
                <w:rFonts w:ascii="Times New Roman" w:hAnsi="Times New Roman"/>
                <w:b w:val="0"/>
                <w:i w:val="0"/>
                <w:sz w:val="18"/>
              </w:rPr>
              <w:t>Numerador y denominador coherentes</w:t>
            </w:r>
          </w:p>
        </w:tc>
        <w:tc>
          <w:tcPr>
            <w:tcW w:type="dxa" w:w="3009"/>
          </w:tcPr>
          <w:p>
            <w:r/>
            <w:r>
              <w:rPr>
                <w:rFonts w:ascii="Times New Roman" w:hAnsi="Times New Roman"/>
                <w:b w:val="0"/>
                <w:i w:val="0"/>
                <w:sz w:val="18"/>
              </w:rPr>
              <w:t>4</w:t>
            </w:r>
          </w:p>
        </w:tc>
        <w:tc>
          <w:tcPr>
            <w:tcW w:type="dxa" w:w="3009"/>
          </w:tcPr>
          <w:p>
            <w:r/>
            <w:r>
              <w:rPr>
                <w:rFonts w:ascii="Times New Roman" w:hAnsi="Times New Roman"/>
                <w:b w:val="0"/>
                <w:i w:val="0"/>
                <w:sz w:val="18"/>
              </w:rPr>
              <w:t>64 (60 estudios)</w:t>
            </w:r>
          </w:p>
        </w:tc>
      </w:tr>
      <w:tr>
        <w:tc>
          <w:tcPr>
            <w:tcW w:type="dxa" w:w="3009"/>
          </w:tcPr>
          <w:p>
            <w:r/>
            <w:r>
              <w:rPr>
                <w:rFonts w:ascii="Times New Roman" w:hAnsi="Times New Roman"/>
                <w:b w:val="0"/>
                <w:i w:val="0"/>
                <w:sz w:val="18"/>
              </w:rPr>
              <w:t>Definición operativa del éxito</w:t>
            </w:r>
          </w:p>
        </w:tc>
        <w:tc>
          <w:tcPr>
            <w:tcW w:type="dxa" w:w="3009"/>
          </w:tcPr>
          <w:p>
            <w:r/>
            <w:r>
              <w:rPr>
                <w:rFonts w:ascii="Times New Roman" w:hAnsi="Times New Roman"/>
                <w:b w:val="0"/>
                <w:i w:val="0"/>
                <w:sz w:val="18"/>
              </w:rPr>
              <w:t>2</w:t>
            </w:r>
          </w:p>
        </w:tc>
        <w:tc>
          <w:tcPr>
            <w:tcW w:type="dxa" w:w="3009"/>
          </w:tcPr>
          <w:p>
            <w:r/>
            <w:r>
              <w:rPr>
                <w:rFonts w:ascii="Times New Roman" w:hAnsi="Times New Roman"/>
                <w:b w:val="0"/>
                <w:i w:val="0"/>
                <w:sz w:val="18"/>
              </w:rPr>
              <w:t>23 (20 estudios)</w:t>
            </w:r>
          </w:p>
        </w:tc>
      </w:tr>
      <w:tr>
        <w:tc>
          <w:tcPr>
            <w:tcW w:type="dxa" w:w="3009"/>
          </w:tcPr>
          <w:p>
            <w:r/>
            <w:r>
              <w:rPr>
                <w:rFonts w:ascii="Times New Roman" w:hAnsi="Times New Roman"/>
                <w:b w:val="0"/>
                <w:i w:val="0"/>
                <w:sz w:val="18"/>
              </w:rPr>
              <w:t>Desenlace atribuible a P. aeruginosa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Administración terapéutica, no profiláctica</w:t>
            </w:r>
          </w:p>
        </w:tc>
        <w:tc>
          <w:tcPr>
            <w:tcW w:type="dxa" w:w="3009"/>
          </w:tcPr>
          <w:p>
            <w:r/>
            <w:r>
              <w:rPr>
                <w:rFonts w:ascii="Times New Roman" w:hAnsi="Times New Roman"/>
                <w:b w:val="0"/>
                <w:i w:val="0"/>
                <w:sz w:val="18"/>
              </w:rPr>
              <w:t>1</w:t>
            </w:r>
          </w:p>
        </w:tc>
        <w:tc>
          <w:tcPr>
            <w:tcW w:type="dxa" w:w="3009"/>
          </w:tcPr>
          <w:p>
            <w:r/>
            <w:r>
              <w:rPr>
                <w:rFonts w:ascii="Times New Roman" w:hAnsi="Times New Roman"/>
                <w:b w:val="0"/>
                <w:i w:val="0"/>
                <w:sz w:val="18"/>
              </w:rPr>
              <w:t>20 (17 estudios)</w:t>
            </w:r>
          </w:p>
        </w:tc>
      </w:tr>
      <w:tr>
        <w:tc>
          <w:tcPr>
            <w:tcW w:type="dxa" w:w="3009"/>
          </w:tcPr>
          <w:p>
            <w:r/>
            <w:r>
              <w:rPr>
                <w:rFonts w:ascii="Times New Roman" w:hAnsi="Times New Roman"/>
                <w:b w:val="0"/>
                <w:i w:val="0"/>
                <w:sz w:val="18"/>
              </w:rPr>
              <w:t>Reporta una proporción, no un tiempo</w:t>
            </w:r>
          </w:p>
        </w:tc>
        <w:tc>
          <w:tcPr>
            <w:tcW w:type="dxa" w:w="3009"/>
          </w:tcPr>
          <w:p>
            <w:r/>
            <w:r>
              <w:rPr>
                <w:rFonts w:ascii="Times New Roman" w:hAnsi="Times New Roman"/>
                <w:b w:val="0"/>
                <w:i w:val="0"/>
                <w:sz w:val="18"/>
              </w:rPr>
              <w:t>0</w:t>
            </w:r>
          </w:p>
        </w:tc>
        <w:tc>
          <w:tcPr>
            <w:tcW w:type="dxa" w:w="3009"/>
          </w:tcPr>
          <w:p>
            <w:r/>
            <w:r>
              <w:rPr>
                <w:rFonts w:ascii="Times New Roman" w:hAnsi="Times New Roman"/>
                <w:b w:val="0"/>
                <w:i w:val="0"/>
                <w:sz w:val="18"/>
              </w:rPr>
              <w:t>19 (16 estudios)</w:t>
            </w:r>
          </w:p>
        </w:tc>
      </w:tr>
    </w:tbl>
    <w:p/>
    <w:p>
      <w:pPr>
        <w:spacing w:before="240" w:after="100" w:line="240" w:lineRule="auto"/>
      </w:pPr>
      <w:r>
        <w:rPr>
          <w:rFonts w:ascii="Times New Roman" w:hAnsi="Times New Roman"/>
          <w:b w:val="0"/>
          <w:i/>
          <w:sz w:val="18"/>
        </w:rPr>
        <w:t>Figura 1. Diagrama de flujo PRISMA 2020.</w:t>
      </w:r>
    </w:p>
    <w:p>
      <w:pPr>
        <w:jc w:val="center"/>
      </w:pPr>
      <w:r>
        <w:drawing>
          <wp:inline xmlns:a="http://schemas.openxmlformats.org/drawingml/2006/main" xmlns:pic="http://schemas.openxmlformats.org/drawingml/2006/picture">
            <wp:extent cx="5120640" cy="4954630"/>
            <wp:docPr id="1" name="Picture 1"/>
            <wp:cNvGraphicFramePr>
              <a:graphicFrameLocks noChangeAspect="1"/>
            </wp:cNvGraphicFramePr>
            <a:graphic>
              <a:graphicData uri="http://schemas.openxmlformats.org/drawingml/2006/picture">
                <pic:pic>
                  <pic:nvPicPr>
                    <pic:cNvPr id="0" name="figura_1_prisma.png"/>
                    <pic:cNvPicPr/>
                  </pic:nvPicPr>
                  <pic:blipFill>
                    <a:blip r:embed="rId10"/>
                    <a:stretch>
                      <a:fillRect/>
                    </a:stretch>
                  </pic:blipFill>
                  <pic:spPr>
                    <a:xfrm>
                      <a:off x="0" y="0"/>
                      <a:ext cx="5120640" cy="4954630"/>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paso de los registros identificados a los estudios incluidos, con las dos corrientes de identificación —bases bibliográficas y registros de ensayos— contabilizadas por separado, como exige la declaración PRISMA 2020. </w:t>
      </w:r>
      <w:r>
        <w:rPr>
          <w:rFonts w:ascii="Times New Roman" w:hAnsi="Times New Roman"/>
          <w:b w:val="0"/>
          <w:i/>
          <w:sz w:val="22"/>
        </w:rPr>
        <w:t>Cómo leerla.</w:t>
      </w:r>
      <w:r>
        <w:rPr>
          <w:rFonts w:ascii="Times New Roman" w:hAnsi="Times New Roman"/>
          <w:b w:val="0"/>
          <w:i w:val="0"/>
          <w:sz w:val="22"/>
        </w:rPr>
        <w:t xml:space="preserve"> La columna izquierda es el flujo principal; las cajas grises de la derecha recogen lo excluido en cada paso; las de título y resumen lo desglosan con los códigos de la Tabla 4, y la de texto completo añade los que solo se usaron en esa fase (PRO, INT, NOREC, NOORG y NOPDF), descritos en el anexo S16.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rFonts w:ascii="Times New Roman" w:hAnsi="Times New Roman"/>
          <w:b w:val="0"/>
          <w:i/>
          <w:sz w:val="22"/>
        </w:rPr>
        <w:t>Fuente.</w:t>
      </w:r>
      <w:r>
        <w:rPr>
          <w:rFonts w:ascii="Times New Roman" w:hAnsi="Times New Roman"/>
          <w:b w:val="0"/>
          <w:i w:val="0"/>
          <w:sz w:val="22"/>
        </w:rPr>
        <w:t xml:space="preserve"> Canal de cribado del proyecto; ejecuciones documentadas de las búsquedas del 3 y el 4 de agosto de 2026, con la exportación de BVS incorporada al corpus el 10 de agosto.</w:t>
      </w:r>
    </w:p>
    <w:p>
      <w:pPr>
        <w:spacing w:before="240" w:after="100" w:line="240" w:lineRule="auto"/>
      </w:pPr>
      <w:r>
        <w:rPr>
          <w:rFonts w:ascii="Times New Roman" w:hAnsi="Times New Roman"/>
          <w:b w:val="0"/>
          <w:i/>
          <w:sz w:val="18"/>
        </w:rPr>
        <w:t>Figura 2. Composición del cuerpo de evidencia recuperable (n = 65 estudios).</w:t>
      </w:r>
    </w:p>
    <w:p>
      <w:pPr>
        <w:jc w:val="center"/>
      </w:pPr>
      <w:r>
        <w:drawing>
          <wp:inline xmlns:a="http://schemas.openxmlformats.org/drawingml/2006/main" xmlns:pic="http://schemas.openxmlformats.org/drawingml/2006/picture">
            <wp:extent cx="5120640" cy="2347675"/>
            <wp:docPr id="2" name="Picture 2"/>
            <wp:cNvGraphicFramePr>
              <a:graphicFrameLocks noChangeAspect="1"/>
            </wp:cNvGraphicFramePr>
            <a:graphic>
              <a:graphicData uri="http://schemas.openxmlformats.org/drawingml/2006/picture">
                <pic:pic>
                  <pic:nvPicPr>
                    <pic:cNvPr id="0" name="figura_2_composicion.png"/>
                    <pic:cNvPicPr/>
                  </pic:nvPicPr>
                  <pic:blipFill>
                    <a:blip r:embed="rId11"/>
                    <a:stretch>
                      <a:fillRect/>
                    </a:stretch>
                  </pic:blipFill>
                  <pic:spPr>
                    <a:xfrm>
                      <a:off x="0" y="0"/>
                      <a:ext cx="5120640" cy="2347675"/>
                    </a:xfrm>
                    <a:prstGeom prst="rect"/>
                  </pic:spPr>
                </pic:pic>
              </a:graphicData>
            </a:graphic>
          </wp:inline>
        </w:drawing>
      </w:r>
    </w:p>
    <w:p/>
    <w:p>
      <w:pPr>
        <w:jc w:val="both"/>
      </w:pPr>
      <w:r>
        <w:rPr>
          <w:rFonts w:ascii="Times New Roman" w:hAnsi="Times New Roman"/>
          <w:b w:val="0"/>
          <w:i/>
          <w:sz w:val="22"/>
        </w:rPr>
        <w:t>Qué muestra.</w:t>
      </w:r>
      <w:r>
        <w:rPr>
          <w:rFonts w:ascii="Times New Roman" w:hAnsi="Times New Roman"/>
          <w:b w:val="0"/>
          <w:i w:val="0"/>
          <w:sz w:val="22"/>
        </w:rPr>
        <w:t xml:space="preserve"> El Panel A ordena los estudios por diseño; el Panel B los distribuye por año de publicación, separando en cada año los diseños comparativos del resto. </w:t>
      </w:r>
      <w:r>
        <w:rPr>
          <w:rFonts w:ascii="Times New Roman" w:hAnsi="Times New Roman"/>
          <w:b w:val="0"/>
          <w:i/>
          <w:sz w:val="22"/>
        </w:rPr>
        <w:t>Cómo leerla.</w:t>
      </w:r>
      <w:r>
        <w:rPr>
          <w:rFonts w:ascii="Times New Roman" w:hAnsi="Times New Roman"/>
          <w:b w:val="0"/>
          <w:i w:val="0"/>
          <w:sz w:val="22"/>
        </w:rP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rFonts w:ascii="Times New Roman" w:hAnsi="Times New Roman"/>
          <w:b w:val="0"/>
          <w:i/>
          <w:sz w:val="22"/>
        </w:rPr>
        <w:t>Fuente.</w:t>
      </w:r>
      <w:r>
        <w:rPr>
          <w:rFonts w:ascii="Times New Roman" w:hAnsi="Times New Roman"/>
          <w:b w:val="0"/>
          <w:i w:val="0"/>
          <w:sz w:val="22"/>
        </w:rPr>
        <w:t xml:space="preserve"> Pre-extracción sistemática desde el resumen de los 65 estudios con publicación recuperable.</w:t>
      </w:r>
    </w:p>
    <w:p>
      <w:pPr>
        <w:spacing w:before="280" w:after="140"/>
      </w:pPr>
      <w:r>
        <w:rPr>
          <w:rFonts w:ascii="Times New Roman" w:hAnsi="Times New Roman"/>
          <w:b/>
          <w:i w:val="0"/>
          <w:sz w:val="24"/>
        </w:rPr>
        <w:t>Material suplementario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S0.</w:t>
      </w:r>
      <w:r>
        <w:rPr>
          <w:rFonts w:ascii="Times New Roman" w:hAnsi="Times New Roman"/>
          <w:b w:val="0"/>
          <w:i w:val="0"/>
          <w:sz w:val="22"/>
        </w:rPr>
        <w:t xml:space="preserve"> Autoevaluación del manuscrito que redactó el modelo de lenguaje (Claude Opus 5) desde el punto de vista de un editor de revista; no es un informe de un editor ni una revisión externa.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w:t>
      </w:r>
      <w:r>
        <w:rPr>
          <w:rFonts w:ascii="Times New Roman" w:hAnsi="Times New Roman"/>
          <w:b w:val="0"/>
          <w:i w:val="0"/>
          <w:sz w:val="22"/>
        </w:rPr>
        <w:t xml:space="preserve"> Lista de comprobación PRISMA 2020.</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w:t>
      </w:r>
      <w:r>
        <w:rPr>
          <w:rFonts w:ascii="Times New Roman" w:hAnsi="Times New Roman"/>
          <w:b w:val="0"/>
          <w:i w:val="0"/>
          <w:sz w:val="22"/>
        </w:rPr>
        <w:t xml:space="preserve"> Ecuaciones de búsqueda literales por fuente, con su número de resultados.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S3.</w:t>
      </w:r>
      <w:r>
        <w:rPr>
          <w:rFonts w:ascii="Times New Roman" w:hAnsi="Times New Roman"/>
          <w:b w:val="0"/>
          <w:i w:val="0"/>
          <w:sz w:val="22"/>
        </w:rP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S4.</w:t>
      </w:r>
      <w:r>
        <w:rPr>
          <w:rFonts w:ascii="Times New Roman" w:hAnsi="Times New Roman"/>
          <w:b w:val="0"/>
          <w:i w:val="0"/>
          <w:sz w:val="22"/>
        </w:rPr>
        <w:t xml:space="preserve"> Pre-extracción desde el resumen de los 65 estudios con publicación recuperable, emitida por el modelo de lenguaje y marcada como parcial en cada registro.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S5.</w:t>
      </w:r>
      <w:r>
        <w:rPr>
          <w:rFonts w:ascii="Times New Roman" w:hAnsi="Times New Roman"/>
          <w:b w:val="0"/>
          <w:i w:val="0"/>
          <w:sz w:val="22"/>
        </w:rPr>
        <w:t xml:space="preserve"> Listado de los 65 estudios del corpus, con su situación y sus informes agrupados. Los 118 excluidos después del cribado están en S16.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S6.</w:t>
      </w:r>
      <w:r>
        <w:rPr>
          <w:rFonts w:ascii="Times New Roman" w:hAnsi="Times New Roman"/>
          <w:b w:val="0"/>
          <w:i w:val="0"/>
          <w:sz w:val="22"/>
        </w:rPr>
        <w:t xml:space="preserve"> Auditoría del cribado contra los 42 controles positivos fijados antes de empezarlo, 40 de ellos comprobables por PMID.</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S7.</w:t>
      </w:r>
      <w:r>
        <w:rPr>
          <w:rFonts w:ascii="Times New Roman" w:hAnsi="Times New Roman"/>
          <w:b w:val="0"/>
          <w:i w:val="0"/>
          <w:sz w:val="22"/>
        </w:rPr>
        <w:t xml:space="preserve"> Declaraciones ICMJE.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S8.</w:t>
      </w:r>
      <w:r>
        <w:rPr>
          <w:rFonts w:ascii="Times New Roman" w:hAnsi="Times New Roman"/>
          <w:b w:val="0"/>
          <w:i w:val="0"/>
          <w:sz w:val="22"/>
        </w:rPr>
        <w:t xml:space="preserve"> Vía de recuperación resuelta en agosto de 2026 para cada informe que pasó a texto completo sin DOI editorial, PMID ni NCT (45 filas: los 43 informes, de los 233 que pasaron a texto completo, que no tenían esos identificadores, y 2 que también habían pasado a texto completo y que la enmienda de idioma del 11 de agosto de 2026 excluyó después en la etapa de resumen):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S9.</w:t>
      </w:r>
      <w:r>
        <w:rPr>
          <w:rFonts w:ascii="Times New Roman" w:hAnsi="Times New Roman"/>
          <w:b w:val="0"/>
          <w:i w:val="0"/>
          <w:sz w:val="22"/>
        </w:rPr>
        <w:t xml:space="preserve"> Idioma por informe, con la clase de evidencia que aportaba.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S10.</w:t>
      </w:r>
      <w:r>
        <w:rPr>
          <w:rFonts w:ascii="Times New Roman" w:hAnsi="Times New Roman"/>
          <w:b w:val="0"/>
          <w:i w:val="0"/>
          <w:sz w:val="22"/>
        </w:rP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S11.</w:t>
      </w:r>
      <w:r>
        <w:rPr>
          <w:rFonts w:ascii="Times New Roman" w:hAnsi="Times New Roman"/>
          <w:b w:val="0"/>
          <w:i w:val="0"/>
          <w:sz w:val="22"/>
        </w:rPr>
        <w:t xml:space="preserve"> Concordancia entre las dos extracciones, antes de resolver los desacuerdos; su independencia no está acreditada.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S12.</w:t>
      </w:r>
      <w:r>
        <w:rPr>
          <w:rFonts w:ascii="Times New Roman" w:hAnsi="Times New Roman"/>
          <w:b w:val="0"/>
          <w:i w:val="0"/>
          <w:sz w:val="22"/>
        </w:rPr>
        <w:t xml:space="preserve"> Cómo se cerraron los 541 desacuerdos de extracción y quién los adjudicó según el registro: los dos revisores en 14 y uno solo en 525; 2 se cerraron por una regla mecánica, sin firma conjunta.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S13.</w:t>
      </w:r>
      <w:r>
        <w:rPr>
          <w:rFonts w:ascii="Times New Roman" w:hAnsi="Times New Roman"/>
          <w:b w:val="0"/>
          <w:i w:val="0"/>
          <w:sz w:val="22"/>
        </w:rPr>
        <w:t xml:space="preserve"> Reglas de extracción de desenlaces, con su corrección documentada. Las redactó el modelo de lenguaje; según declara D.V., las decidieron los dos autores, y el registro del 12 de agosto de 2026 las dejó como propuesta sin ratificar.</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S14.</w:t>
      </w:r>
      <w:r>
        <w:rPr>
          <w:rFonts w:ascii="Times New Roman" w:hAnsi="Times New Roman"/>
          <w:b w:val="0"/>
          <w:i w:val="0"/>
          <w:sz w:val="22"/>
        </w:rPr>
        <w:t xml:space="preserve"> Extracción adjudicada: un valor por casilla, brazo a brazo, tras la adjudicación de los desacuerdos. Sostiene la sección 3.5 y las tablas 5 y 6.</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S15.</w:t>
      </w:r>
      <w:r>
        <w:rPr>
          <w:rFonts w:ascii="Times New Roman" w:hAnsi="Times New Roman"/>
          <w:b w:val="0"/>
          <w:i w:val="0"/>
          <w:sz w:val="22"/>
        </w:rPr>
        <w:t xml:space="preserve"> Procedencia de cada casilla de S14: acuerdo, adjudicada por los dos, adjudicada por uno, corregida contra el texto, una sola lectura o abierta.</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S16.</w:t>
      </w:r>
      <w:r>
        <w:rPr>
          <w:rFonts w:ascii="Times New Roman" w:hAnsi="Times New Roman"/>
          <w:b w:val="0"/>
          <w:i w:val="0"/>
          <w:sz w:val="22"/>
        </w:rPr>
        <w:t xml:space="preserve"> Los 118 estudios que el cribado admitió y que salieron después, con su código de motivo y quién decidió cada exclusión según el registro: 89 las firmaron los dos autores, 2 las firmó D.V. solo y 27 se registraron por orden de D.V. del 1 y el 2 de septiembre de 2026 sin que conste la firma de N.T. 47 llevan la cita en que se apoya; los 63 sin el artículo completo (NOPDF) y los 4 sin texto que se pudiera leer (NOREC) no tienen nada que citar, y 4 más van sin cita. De las que llevan cita, 17 citan la ficha del registro y 1, la indexación de SciELO.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S17.</w:t>
      </w:r>
      <w:r>
        <w:rPr>
          <w:rFonts w:ascii="Times New Roman" w:hAnsi="Times New Roman"/>
          <w:b w:val="0"/>
          <w:i w:val="0"/>
          <w:sz w:val="22"/>
        </w:rPr>
        <w:t xml:space="preserve"> La Tabla 6 desglosada: los siete requisitos, brazo a brazo sobre los 73 brazos, con el primero que falla y por qué.</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w:t>
      </w:r>
      <w:r>
        <w:rPr>
          <w:rFonts w:ascii="Times New Roman" w:hAnsi="Times New Roman"/>
          <w:b w:val="0"/>
          <w:i w:val="0"/>
          <w:sz w:val="22"/>
        </w:rPr>
        <w:t xml:space="preserve"> Los 68 juicios de riesgo de sesgo, uno por fila, con lo que sostiene cada uno en el cuaderno firmado: una cita literal en 24, una nota sin cita en 36 y nada en 8, marcados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S18b.</w:t>
      </w:r>
      <w:r>
        <w:rPr>
          <w:rFonts w:ascii="Times New Roman" w:hAnsi="Times New Roman"/>
          <w:b w:val="0"/>
          <w:i w:val="0"/>
          <w:sz w:val="22"/>
        </w:rPr>
        <w:t xml:space="preserve"> Las frases de cada artículo que el modelo de lenguaje localizó de forma automática para cada dominio de riesgo de sesgo y puso como comentario en los formularios; acompañan a lo que sostiene cada juicio en S18, no lo sustituyen.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S19.</w:t>
      </w:r>
      <w:r>
        <w:rPr>
          <w:rFonts w:ascii="Times New Roman" w:hAnsi="Times New Roman"/>
          <w:b w:val="0"/>
          <w:i w:val="0"/>
          <w:sz w:val="22"/>
        </w:rPr>
        <w:t xml:space="preserve"> Qué modelo emitió las decisiones de cribado, cuándo, sobre qué ficheros, qué examinó D.V., según su declaración, y qué no quedó registrado, marcado como dato faltante.</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S20.</w:t>
      </w:r>
      <w:r>
        <w:rPr>
          <w:rFonts w:ascii="Times New Roman" w:hAnsi="Times New Roman"/>
          <w:b w:val="0"/>
          <w:i w:val="0"/>
          <w:sz w:val="22"/>
        </w:rPr>
        <w:t xml:space="preserve"> De qué informe salió cada uno de los 73 brazos, y con qué prueba se estableció el vínculo.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S21.</w:t>
      </w:r>
      <w:r>
        <w:rPr>
          <w:rFonts w:ascii="Times New Roman" w:hAnsi="Times New Roman"/>
          <w:b w:val="0"/>
          <w:i w:val="0"/>
          <w:sz w:val="22"/>
        </w:rPr>
        <w:t xml:space="preserve"> Los 30 pares de estudios que podían describir a los mismos pacientes, con la señal que los marcó, el veredicto tras leer los dos artículos, los pacientes compartidos y la frase en que se apoya. 28 de los 30 veredictos llevan la firma de los dos autores; los otros 2, descartes que hizo la lectura del modelo del 22 de septiembre de 2026, no constan firmados.</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S22.</w:t>
      </w:r>
      <w:r>
        <w:rPr>
          <w:rFonts w:ascii="Times New Roman" w:hAnsi="Times New Roman"/>
          <w:b w:val="0"/>
          <w:i w:val="0"/>
          <w:sz w:val="22"/>
        </w:rPr>
        <w:t xml:space="preserve"> Para cada variable de estratificación, cuántos estudios la declaran en el texto completo, cuántos la mencionan sin poder clasificarla, cuántos callan y de cuántos no hay texto.</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S23.</w:t>
      </w:r>
      <w:r>
        <w:rPr>
          <w:rFonts w:ascii="Times New Roman" w:hAnsi="Times New Roman"/>
          <w:b w:val="0"/>
          <w:i w:val="0"/>
          <w:sz w:val="22"/>
        </w:rPr>
        <w:t xml:space="preserve"> La clase de resistencia de los 70 estudios que tenían texto completo, comprobada contra el antibiograma del artículo: la conclusión firmada, la frase o la tabla en que se apoya, cómo la codificó el modelo de lenguaje a partir de esa conclusión y qué cambió en la extracción.</w:t>
      </w:r>
    </w:p>
    <w:p>
      <w:pPr>
        <w:spacing w:after="80" w:line="276" w:lineRule="auto"/>
        <w:ind w:left="504" w:hanging="504"/>
        <w:jc w:val="both"/>
      </w:pPr>
      <w:r>
        <w:rPr>
          <w:rFonts w:ascii="Times New Roman" w:hAnsi="Times New Roman"/>
          <w:b w:val="0"/>
          <w:i w:val="0"/>
          <w:sz w:val="22"/>
        </w:rPr>
        <w:t xml:space="preserve">• </w:t>
      </w:r>
      <w:r>
        <w:rPr>
          <w:rFonts w:ascii="Times New Roman" w:hAnsi="Times New Roman"/>
          <w:b w:val="0"/>
          <w:i/>
          <w:sz w:val="22"/>
        </w:rPr>
        <w:t>S24.</w:t>
      </w:r>
      <w:r>
        <w:rPr>
          <w:rFonts w:ascii="Times New Roman" w:hAnsi="Times New Roman"/>
          <w:b w:val="0"/>
          <w:i w:val="0"/>
          <w:sz w:val="22"/>
        </w:rPr>
        <w:t xml:space="preserve"> Los 14 estudios con diseño comparativo, reextraídos: comparador, asignación, tiempo cero, tiempo de evaluación, cointervenciones, pérdidas, estimando y si hay un contraste para </w:t>
      </w:r>
      <w:r>
        <w:rPr>
          <w:rFonts w:ascii="Times New Roman" w:hAnsi="Times New Roman"/>
          <w:b w:val="0"/>
          <w:i/>
          <w:sz w:val="22"/>
        </w:rPr>
        <w:t>P. aeruginosa</w:t>
      </w:r>
      <w:r>
        <w:rPr>
          <w:rFonts w:ascii="Times New Roman" w:hAnsi="Times New Roman"/>
          <w:b w:val="0"/>
          <w:i w:val="0"/>
          <w:sz w:val="22"/>
        </w:rPr>
        <w:t>.</w:t>
      </w:r>
    </w:p>
    <w:p>
      <w:pPr>
        <w:jc w:val="both"/>
      </w:pPr>
      <w:r>
        <w:rPr>
          <w:rFonts w:ascii="Times New Roman" w:hAnsi="Times New Roman"/>
          <w:b w:val="0"/>
          <w:i w:val="0"/>
          <w:sz w:val="22"/>
        </w:rPr>
        <w:t>Los acompaña una guía que explica, fichero a fichero, qué contiene y qué pregunta permite contestar.</w:t>
      </w:r>
    </w:p>
    <w:p>
      <w:pPr>
        <w:spacing w:before="320"/>
      </w:pPr>
      <w:r>
        <w:rPr>
          <w:rFonts w:ascii="Times New Roman" w:hAnsi="Times New Roman"/>
          <w:b/>
          <w:i w:val="0"/>
          <w:sz w:val="24"/>
        </w:rPr>
        <w:t>Referencias</w:t>
      </w:r>
    </w:p>
    <w:p>
      <w:pPr>
        <w:spacing w:after="80" w:line="240" w:lineRule="auto"/>
        <w:ind w:left="504" w:hanging="504"/>
      </w:pPr>
      <w:r>
        <w:rPr>
          <w:rFonts w:ascii="Times New Roman" w:hAnsi="Times New Roman"/>
          <w:b w:val="0"/>
          <w:i w:val="0"/>
          <w:sz w:val="20"/>
        </w:rPr>
        <w:t>1. Tacconelli E, Carrara E, Savoldi A, Harbarth S, Mendelson M, Monnet DL, et al. Discovery, Research, and Development of New Antibiotics: The WHO Priority List of Antibiotic-Resistant Bacteria and Tuberculosis. Lancet Infectious Diseases. 2018;18(3):318–327. https://doi.org/10.1016/S1473-3099(17)30753-3</w:t>
      </w:r>
    </w:p>
    <w:p>
      <w:pPr>
        <w:spacing w:after="80" w:line="240" w:lineRule="auto"/>
        <w:ind w:left="504" w:hanging="504"/>
      </w:pPr>
      <w:r>
        <w:rPr>
          <w:rFonts w:ascii="Times New Roman" w:hAnsi="Times New Roman"/>
          <w:b w:val="0"/>
          <w:i w:val="0"/>
          <w:sz w:val="20"/>
        </w:rPr>
        <w:t>2. World Health Organization. WHO Bacterial Priority Pathogens List, 2024: Bacterial Pathogens of Public Health Importance to Guide Research, Development and Strategies to Prevent and Control Antimicrobial Resistance. World Health Organization, Geneva. 2024.</w:t>
      </w:r>
    </w:p>
    <w:p>
      <w:pPr>
        <w:spacing w:after="80" w:line="240" w:lineRule="auto"/>
        <w:ind w:left="504" w:hanging="504"/>
      </w:pPr>
      <w:r>
        <w:rPr>
          <w:rFonts w:ascii="Times New Roman" w:hAnsi="Times New Roman"/>
          <w:b w:val="0"/>
          <w:i w:val="0"/>
          <w:sz w:val="20"/>
        </w:rPr>
        <w:t>3. Pirnay J, Djebara S, Steurs G, Griselain J, Cochez C, De Soir S, et al. Personalized Bacteriophage Therapy Outcomes for 100 Consecutive Cases: A Multicentre, Multinational, Retrospective Observational Study. Nature Microbiology. 2024;9(6):1434–1453. https://doi.org/10.1038/s41564-024-01705-x</w:t>
      </w:r>
    </w:p>
    <w:p>
      <w:pPr>
        <w:spacing w:after="80" w:line="240" w:lineRule="auto"/>
        <w:ind w:left="504" w:hanging="504"/>
      </w:pPr>
      <w:r>
        <w:rPr>
          <w:rFonts w:ascii="Times New Roman" w:hAnsi="Times New Roman"/>
          <w:b w:val="0"/>
          <w:i w:val="0"/>
          <w:sz w:val="20"/>
        </w:rPr>
        <w:t>4. Aslam S, Courtwright AM, Koval C, Lehman SM, Morales S, Furr C, et al. Early Clinical Experience of Bacteriophage Therapy in 3 Lung Transplant Recipients. American Journal of Transplantation. 2019;19(9):2631–2639. https://doi.org/10.1111/ajt.15503</w:t>
      </w:r>
    </w:p>
    <w:p>
      <w:pPr>
        <w:spacing w:after="80" w:line="240" w:lineRule="auto"/>
        <w:ind w:left="504" w:hanging="504"/>
      </w:pPr>
      <w:r>
        <w:rPr>
          <w:rFonts w:ascii="Times New Roman" w:hAnsi="Times New Roman"/>
          <w:b w:val="0"/>
          <w:i w:val="0"/>
          <w:sz w:val="20"/>
        </w:rPr>
        <w:t>5. Chan BK, Turner PE, Kim S, Mojibian HR, Elefteriades JA, Narayan D. Phage Treatment of an Aortic Graft Infected With Pseudomonas aeruginosa. Evolution, Medicine, and Public Health. 2018;2018(1):60–66. https://doi.org/10.1093/emph/eoy005</w:t>
      </w:r>
    </w:p>
    <w:p>
      <w:pPr>
        <w:spacing w:after="80" w:line="240" w:lineRule="auto"/>
        <w:ind w:left="504" w:hanging="504"/>
      </w:pPr>
      <w:r>
        <w:rPr>
          <w:rFonts w:ascii="Times New Roman" w:hAnsi="Times New Roman"/>
          <w:b w:val="0"/>
          <w:i w:val="0"/>
          <w:sz w:val="20"/>
        </w:rPr>
        <w:t>6. Uyttebroek S, Chen B, Onsea J, Ruythooren F, Debaveye Y, Devolder D, et al. Safety and Efficacy of Phage Therapy in Difficult-to-Treat Infections: A Systematic Review. Lancet Infectious Diseases. 2022;22(8):e208–e220.</w:t>
      </w:r>
    </w:p>
    <w:p>
      <w:pPr>
        <w:spacing w:after="80" w:line="240" w:lineRule="auto"/>
        <w:ind w:left="504" w:hanging="504"/>
      </w:pPr>
      <w:r>
        <w:rPr>
          <w:rFonts w:ascii="Times New Roman" w:hAnsi="Times New Roman"/>
          <w:b w:val="0"/>
          <w:i w:val="0"/>
          <w:sz w:val="20"/>
        </w:rPr>
        <w:t>7. Liu Y, Thong S, Moreira W, Yeo JH, Zhong Y, Chong ZS, et al. Clinical Application of Customized and Non-Customized Bacteriophage Therapy in Patients with Refractory/Resistant Bacterial Infections: A Systematic Review and Meta-Analysis. International Journal of Antimicrobial Agents. 2025;66(4):107570. https://doi.org/10.1016/j.ijantimicag.2025.107570</w:t>
      </w:r>
    </w:p>
    <w:p>
      <w:pPr>
        <w:spacing w:after="80" w:line="240" w:lineRule="auto"/>
        <w:ind w:left="504" w:hanging="504"/>
      </w:pPr>
      <w:r>
        <w:rPr>
          <w:rFonts w:ascii="Times New Roman" w:hAnsi="Times New Roman"/>
          <w:b w:val="0"/>
          <w:i w:val="0"/>
          <w:sz w:val="20"/>
        </w:rPr>
        <w:t>8. Page MJ, McKenzie JE, Bossuyt PM, Boutron I, Hoffmann TC, Mulrow CD, et al. The PRISMA 2020 Statement: An Updated Guideline for Reporting Systematic Reviews. BMJ. 2021;372:n71. https://doi.org/10.1136/bmj.n71</w:t>
      </w:r>
    </w:p>
    <w:p>
      <w:pPr>
        <w:spacing w:after="80" w:line="240" w:lineRule="auto"/>
        <w:ind w:left="504" w:hanging="504"/>
      </w:pPr>
      <w:r>
        <w:rPr>
          <w:rFonts w:ascii="Times New Roman" w:hAnsi="Times New Roman"/>
          <w:b w:val="0"/>
          <w:i w:val="0"/>
          <w:sz w:val="20"/>
        </w:rPr>
        <w:t>9. Magiorakos A, Srinivasan A, Carey RB, Carmeli Y, Falagas ME, Giske CG, et al. Multidrug-Resistant, Extensively Drug-Resistant and Pandrug-Resistant Bacteria: An International Expert Proposal for Interim Standard Definitions for Acquired Resistance. Clinical Microbiology and Infection. 2012;18(3):268–281. https://doi.org/10.1111/j.1469-0691.2011.03570.x</w:t>
      </w:r>
    </w:p>
    <w:p>
      <w:pPr>
        <w:spacing w:after="80" w:line="240" w:lineRule="auto"/>
        <w:ind w:left="504" w:hanging="504"/>
      </w:pPr>
      <w:r>
        <w:rPr>
          <w:rFonts w:ascii="Times New Roman" w:hAnsi="Times New Roman"/>
          <w:b w:val="0"/>
          <w:i w:val="0"/>
          <w:sz w:val="20"/>
        </w:rPr>
        <w:t>10. Sterne JAC, Savović J, Page MJ, Elbers RG, Blencowe NS, Boutron I, et al. RoB 2: A Revised Tool for Assessing Risk of Bias in Randomised Trials. BMJ. 2019;366:l4898. https://doi.org/10.1136/bmj.l4898</w:t>
      </w:r>
    </w:p>
    <w:p>
      <w:pPr>
        <w:spacing w:after="80" w:line="240" w:lineRule="auto"/>
        <w:ind w:left="504" w:hanging="504"/>
      </w:pPr>
      <w:r>
        <w:rPr>
          <w:rFonts w:ascii="Times New Roman" w:hAnsi="Times New Roman"/>
          <w:b w:val="0"/>
          <w:i w:val="0"/>
          <w:sz w:val="20"/>
        </w:rPr>
        <w:t>11. Sterne JA, Hernán MA, Reeves BC, Savović J, Berkman ND, Viswanathan M, et al. ROBINS-I: A Tool for Assessing Risk of Bias in Non-Randomised Studies of Interventions. BMJ. 2016;355:i4919. https://doi.org/10.1136/bmj.i4919</w:t>
      </w:r>
    </w:p>
    <w:p>
      <w:pPr>
        <w:spacing w:after="80" w:line="240" w:lineRule="auto"/>
        <w:ind w:left="504" w:hanging="504"/>
      </w:pPr>
      <w:r>
        <w:rPr>
          <w:rFonts w:ascii="Times New Roman" w:hAnsi="Times New Roman"/>
          <w:b w:val="0"/>
          <w:i w:val="0"/>
          <w:sz w:val="20"/>
        </w:rPr>
        <w:t>12. Murad MH, Sultan S, Haffar S, Bazerbachi F. Methodological Quality and Synthesis of Case Series and Case Reports. BMJ Evidence-Based Medicine. 2018;23(2):60–63. https://doi.org/10.1136/bmjebm-2017-110853</w:t>
      </w:r>
    </w:p>
    <w:p>
      <w:pPr>
        <w:spacing w:after="80" w:line="240" w:lineRule="auto"/>
        <w:ind w:left="504" w:hanging="504"/>
      </w:pPr>
      <w:r>
        <w:rPr>
          <w:rFonts w:ascii="Times New Roman" w:hAnsi="Times New Roman"/>
          <w:b w:val="0"/>
          <w:i w:val="0"/>
          <w:sz w:val="20"/>
        </w:rPr>
        <w:t>13. Munn Z, Barker TH, Moola S, Tufanaru C, Stern C, McArthur A, et al. Methodological Quality of Case Series Studies: An Introduction to the JBI Critical Appraisal Tool. JBI Evidence Synthesis. 2020;18(10):2127–2133. https://doi.org/10.11124/JBISRIR-D-19-00099</w:t>
      </w:r>
    </w:p>
    <w:p>
      <w:pPr>
        <w:spacing w:after="80" w:line="240" w:lineRule="auto"/>
        <w:ind w:left="504" w:hanging="504"/>
      </w:pPr>
      <w:r>
        <w:rPr>
          <w:rFonts w:ascii="Times New Roman" w:hAnsi="Times New Roman"/>
          <w:b w:val="0"/>
          <w:i w:val="0"/>
          <w:sz w:val="20"/>
        </w:rPr>
        <w:t>14. Guyatt G, Oxman AD, Akl EA, Kunz R, Vist G, Brozek J, et al. GRADE Guidelines: 1. Introduction --- GRADE Evidence Profiles and Summary of Findings Tables. Journal of Clinical Epidemiology. 2011;64(4):383–394. https://doi.org/10.1016/j.jclinepi.2010.04.026</w:t>
      </w:r>
    </w:p>
    <w:p>
      <w:pPr>
        <w:spacing w:after="80" w:line="240" w:lineRule="auto"/>
        <w:ind w:left="504" w:hanging="504"/>
      </w:pPr>
      <w:r>
        <w:rPr>
          <w:rFonts w:ascii="Times New Roman" w:hAnsi="Times New Roman"/>
          <w:b w:val="0"/>
          <w:i w:val="0"/>
          <w:sz w:val="20"/>
        </w:rPr>
        <w:t>15. Barker TH, Migliavaca CB, Stein C, Colpani V, Falavigna M, Aromataris E, et al. Conducting Proportional Meta-Analysis in Different Types of Systematic Reviews: A Guide for Synthesisers of Evidence. BMC Medical Research Methodology. 2021;21(1):189. https://doi.org/10.1186/s12874-021-01381-z</w:t>
      </w:r>
    </w:p>
    <w:p>
      <w:pPr>
        <w:spacing w:after="80" w:line="240" w:lineRule="auto"/>
        <w:ind w:left="504" w:hanging="504"/>
      </w:pPr>
      <w:r>
        <w:rPr>
          <w:rFonts w:ascii="Times New Roman" w:hAnsi="Times New Roman"/>
          <w:b w:val="0"/>
          <w:i w:val="0"/>
          <w:sz w:val="20"/>
        </w:rPr>
        <w:t>16. Migliavaca CB, Stein C, Colpani V, Barker TH, Ziegelmann PK, Munn Z, et al. Meta-Analysis of Prevalence: $I^2$ Statistic and How to Deal With Heterogeneity. Research Synthesis Methods. 2022;13(3):363–367. https://doi.org/10.1002/jrsm.1547</w:t>
      </w:r>
    </w:p>
    <w:p>
      <w:pPr>
        <w:spacing w:after="80" w:line="240" w:lineRule="auto"/>
        <w:ind w:left="504" w:hanging="504"/>
      </w:pPr>
      <w:r>
        <w:rPr>
          <w:rFonts w:ascii="Times New Roman" w:hAnsi="Times New Roman"/>
          <w:b w:val="0"/>
          <w:i w:val="0"/>
          <w:sz w:val="20"/>
        </w:rPr>
        <w:t>17. Jault P, Leclerc T, Jennes S, Pirnay J, Que Y, Resch G, et al. Efficacy and Tolerability of a Cocktail of Bacteriophages to Treat Burn Wounds Infected by Pseudomonas aeruginosa (PhagoBurn): A Randomised, Controlled, Double-Blind Phase 1/2 Trial. Lancet Infectious Diseases. 2019;19(1):35–45. https://doi.org/10.1016/S1473-3099(18)30482-1</w:t>
      </w:r>
    </w:p>
    <w:p>
      <w:pPr>
        <w:spacing w:after="80" w:line="240" w:lineRule="auto"/>
        <w:ind w:left="504" w:hanging="504"/>
      </w:pPr>
      <w:r>
        <w:rPr>
          <w:rFonts w:ascii="Times New Roman" w:hAnsi="Times New Roman"/>
          <w:b w:val="0"/>
          <w:i w:val="0"/>
          <w:sz w:val="20"/>
        </w:rPr>
        <w:t>18. Weiner I, Kahan-Hanum M, Buchstab N, Zelcbuch L, Navok S, Sherman I, et al. Phage Therapy with Nebulized Cocktail BX004-A for Chronic Pseudomonas aeruginosa Infections in Cystic Fibrosis: A Randomized First-in-Human Trial. Nature Communications. 2025;16(1):5579. https://doi.org/10.1038/s41467-025-60598-4</w:t>
      </w:r>
    </w:p>
    <w:p>
      <w:pPr>
        <w:spacing w:after="80" w:line="240" w:lineRule="auto"/>
        <w:ind w:left="504" w:hanging="504"/>
      </w:pPr>
      <w:r>
        <w:rPr>
          <w:rFonts w:ascii="Times New Roman" w:hAnsi="Times New Roman"/>
          <w:b w:val="0"/>
          <w:i w:val="0"/>
          <w:sz w:val="20"/>
        </w:rPr>
        <w:t>19. Nir-Paz R, Onallah H, Dekel M, Gellman Y, Haze A, Ben-Ami R, et al. Randomized double-blind study on safety and tolerability of TP-102 phage cocktail in patients with infected and non-infected diabetic foot ulcers. Med. 2025;6:100565. https://doi.org/10.1016/j.medj.2024.11.018</w:t>
      </w:r>
    </w:p>
    <w:p>
      <w:pPr>
        <w:spacing w:after="80" w:line="240" w:lineRule="auto"/>
        <w:ind w:left="504" w:hanging="504"/>
      </w:pPr>
      <w:r>
        <w:rPr>
          <w:rFonts w:ascii="Times New Roman" w:hAnsi="Times New Roman"/>
          <w:b w:val="0"/>
          <w:i w:val="0"/>
          <w:sz w:val="20"/>
        </w:rPr>
        <w:t>20. Ferry T, Kolenda C, Laurent F, Leboucher G, Merabishvili M, Djebara S, et al. Personalized Bacteriophage Therapy to Treat Pandrug-Resistant Spinal Pseudomonas aeruginosa Infection. Nature Communications. 2022;13:4239. https://doi.org/10.1038/s41467-022-31837-9</w:t>
      </w:r>
    </w:p>
    <w:p>
      <w:pPr>
        <w:spacing w:after="80" w:line="240" w:lineRule="auto"/>
        <w:ind w:left="504" w:hanging="504"/>
      </w:pPr>
      <w:r>
        <w:rPr>
          <w:rFonts w:ascii="Times New Roman" w:hAnsi="Times New Roman"/>
          <w:b w:val="0"/>
          <w:i w:val="0"/>
          <w:sz w:val="20"/>
        </w:rPr>
        <w:t>21. Onallah H, Hazan R, Nir-Paz R, et al. Refractory Pseudomonas aeruginosa Infections Treated with Phage PASA16: A Compassionate Use Case Series. Med. 2023;4(9):600–611.e4. https://doi.org/10.1016/j.medj.2023.07.002</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i/>
        <w:sz w:val="18"/>
      </w:rPr>
      <w:t>Informe extendido — NO es el manuscrito de envío. Fagoterapia en P. aeruginosa multirresistente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