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S1. Lista de comprobación PRISMA 2020</w:t>
      </w:r>
    </w:p>
    <w:p>
      <w:r>
        <w:rPr>
          <w:i/>
          <w:sz w:val="19"/>
        </w:rPr>
        <w:t>Fagoterapia en Pseudomonas aeruginosa multirresistente. Estado a 20 de octubre de 2026.</w:t>
      </w:r>
    </w:p>
    <w:p>
      <w:pPr>
        <w:pStyle w:val="Heading2"/>
      </w:pPr>
      <w:r>
        <w:t>Cómo leer la columna «dónde mirar»</w:t>
      </w:r>
    </w:p>
    <w:p>
      <w:r>
        <w:t>Las remisiones §1 a §4.4 corresponden al informe extendido. En el manuscrito enviado a la revista, cuyas secciones no van numeradas, equivalen a:</w:t>
      </w:r>
    </w:p>
    <w:p>
      <w:pPr>
        <w:pStyle w:val="ListBullet"/>
      </w:pPr>
      <w:r>
        <w:t>§1  →  INTRODUCCIÓN</w:t>
      </w:r>
    </w:p>
    <w:p>
      <w:pPr>
        <w:pStyle w:val="ListBullet"/>
      </w:pPr>
      <w:r>
        <w:t>§2.1  →  METODOLOGÍA › Protocolo y reporte</w:t>
      </w:r>
    </w:p>
    <w:p>
      <w:pPr>
        <w:pStyle w:val="ListBullet"/>
      </w:pPr>
      <w:r>
        <w:t>§2.2  →  METODOLOGÍA › Criterios de elegibilidad (Tabla 1)</w:t>
      </w:r>
    </w:p>
    <w:p>
      <w:pPr>
        <w:pStyle w:val="ListBullet"/>
      </w:pPr>
      <w:r>
        <w:t>§2.3  →  METODOLOGÍA › Fuentes de información y estrategia de búsqueda</w:t>
      </w:r>
    </w:p>
    <w:p>
      <w:pPr>
        <w:pStyle w:val="ListBullet"/>
      </w:pPr>
      <w:r>
        <w:t>§2.4  →  METODOLOGÍA › Selección de los estudios</w:t>
      </w:r>
    </w:p>
    <w:p>
      <w:pPr>
        <w:pStyle w:val="ListBullet"/>
      </w:pPr>
      <w:r>
        <w:t>§2.6  →  METODOLOGÍA › Extracción de datos</w:t>
      </w:r>
    </w:p>
    <w:p>
      <w:pPr>
        <w:pStyle w:val="ListBullet"/>
      </w:pPr>
      <w:r>
        <w:t>§2.7  →  METODOLOGÍA › Evaluación del riesgo de sesgo</w:t>
      </w:r>
    </w:p>
    <w:p>
      <w:pPr>
        <w:pStyle w:val="ListBullet"/>
      </w:pPr>
      <w:r>
        <w:t>§2.8  →  METODOLOGÍA › Síntesis</w:t>
      </w:r>
    </w:p>
    <w:p>
      <w:pPr>
        <w:pStyle w:val="ListBullet"/>
      </w:pPr>
      <w:r>
        <w:t>§2.9  →  METODOLOGÍA › Enmiendas al protocolo</w:t>
      </w:r>
    </w:p>
    <w:p>
      <w:pPr>
        <w:pStyle w:val="ListBullet"/>
      </w:pPr>
      <w:r>
        <w:t>§3.1 y §3.1.1  →  RESULTADOS › Selección de los estudios (Figura 1)</w:t>
      </w:r>
    </w:p>
    <w:p>
      <w:pPr>
        <w:pStyle w:val="ListBullet"/>
      </w:pPr>
      <w:r>
        <w:t>§3.3  →  RESULTADOS › Características del cuerpo de evidencia (Tabla 2)</w:t>
      </w:r>
    </w:p>
    <w:p>
      <w:pPr>
        <w:pStyle w:val="ListBullet"/>
      </w:pPr>
      <w:r>
        <w:t>§3.4  →  RESULTADOS › Completitud del reporte en las variables de estratificación (Tabla 3)</w:t>
      </w:r>
    </w:p>
    <w:p>
      <w:pPr>
        <w:pStyle w:val="ListBullet"/>
      </w:pPr>
      <w:r>
        <w:t>§3.5  →  RESULTADOS › Reporte de los desenlaces (Tabla 4)</w:t>
      </w:r>
    </w:p>
    <w:p>
      <w:pPr>
        <w:pStyle w:val="ListBullet"/>
      </w:pPr>
      <w:r>
        <w:t>§3.6  →  RESULTADOS › Viabilidad de la síntesis cuantitativa (Tabla 6)</w:t>
      </w:r>
    </w:p>
    <w:p>
      <w:pPr>
        <w:pStyle w:val="ListBullet"/>
      </w:pPr>
      <w:r>
        <w:t>§3.7  →  RESULTADOS › Riesgo de sesgo (Tabla 5)</w:t>
      </w:r>
    </w:p>
    <w:p>
      <w:pPr>
        <w:pStyle w:val="ListBullet"/>
      </w:pPr>
      <w:r>
        <w:t>§4, §4.3 y §4.4  →  DISCUSIÓN Y CONCLUSIONES</w:t>
      </w:r>
    </w:p>
    <w:p>
      <w:r>
        <w:t>Las tablas también se renumeran entre los dos documentos, y la columna «dónde mirar» las cita con el número del informe extendido: la Tabla 1 del manuscrito de la revista es la de criterios de elegibilidad; la de características del corpus es allí la Tabla 2 (en el informe extendido, la 1); la de completitud en las variables de estratificación, la Tabla 3 (la 2); la de desenlaces, la Tabla 4 (la 5); la de riesgo de sesgo, la Tabla 5 (la 7), y la del embudo de agregabilidad, la Tabla 6 (también la 6).</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794"/>
          </w:tcPr>
          <w:p>
            <w:r/>
            <w:r>
              <w:rPr>
                <w:b/>
                <w:sz w:val="18"/>
              </w:rPr>
              <w:t>Ítem</w:t>
            </w:r>
          </w:p>
        </w:tc>
        <w:tc>
          <w:tcPr>
            <w:tcW w:type="dxa" w:w="1814"/>
          </w:tcPr>
          <w:p>
            <w:r/>
            <w:r>
              <w:rPr>
                <w:b/>
                <w:sz w:val="18"/>
              </w:rPr>
              <w:t>Elemento</w:t>
            </w:r>
          </w:p>
        </w:tc>
        <w:tc>
          <w:tcPr>
            <w:tcW w:type="dxa" w:w="2154"/>
          </w:tcPr>
          <w:p>
            <w:r/>
            <w:r>
              <w:rPr>
                <w:b/>
                <w:sz w:val="18"/>
              </w:rPr>
              <w:t>Qué exige</w:t>
            </w:r>
          </w:p>
        </w:tc>
        <w:tc>
          <w:tcPr>
            <w:tcW w:type="dxa" w:w="1361"/>
          </w:tcPr>
          <w:p>
            <w:r/>
            <w:r>
              <w:rPr>
                <w:b/>
                <w:sz w:val="18"/>
              </w:rPr>
              <w:t>Estado</w:t>
            </w:r>
          </w:p>
        </w:tc>
        <w:tc>
          <w:tcPr>
            <w:tcW w:type="dxa" w:w="3515"/>
          </w:tcPr>
          <w:p>
            <w:r/>
            <w:r>
              <w:rPr>
                <w:b/>
                <w:sz w:val="18"/>
              </w:rPr>
              <w:t>Dónde está</w:t>
            </w:r>
          </w:p>
        </w:tc>
      </w:tr>
      <w:tr>
        <w:tc>
          <w:tcPr>
            <w:tcW w:type="dxa" w:w="794"/>
          </w:tcPr>
          <w:p>
            <w:r/>
            <w:r>
              <w:rPr>
                <w:sz w:val="18"/>
              </w:rPr>
              <w:t>1</w:t>
            </w:r>
          </w:p>
        </w:tc>
        <w:tc>
          <w:tcPr>
            <w:tcW w:type="dxa" w:w="1814"/>
          </w:tcPr>
          <w:p>
            <w:r/>
            <w:r>
              <w:rPr>
                <w:sz w:val="18"/>
              </w:rPr>
              <w:t>Título</w:t>
            </w:r>
          </w:p>
        </w:tc>
        <w:tc>
          <w:tcPr>
            <w:tcW w:type="dxa" w:w="2154"/>
          </w:tcPr>
          <w:p>
            <w:r/>
            <w:r>
              <w:rPr>
                <w:sz w:val="18"/>
              </w:rPr>
              <w:t>Identifica el informe como revisión sistemática</w:t>
            </w:r>
          </w:p>
        </w:tc>
        <w:tc>
          <w:tcPr>
            <w:tcW w:type="dxa" w:w="1361"/>
          </w:tcPr>
          <w:p>
            <w:r/>
            <w:r>
              <w:rPr>
                <w:sz w:val="18"/>
              </w:rPr>
              <w:t>CUMPLE</w:t>
            </w:r>
          </w:p>
        </w:tc>
        <w:tc>
          <w:tcPr>
            <w:tcW w:type="dxa" w:w="3515"/>
          </w:tcPr>
          <w:p>
            <w:r/>
            <w:r>
              <w:rPr>
                <w:sz w:val="18"/>
              </w:rPr>
              <w:t>Título</w:t>
            </w:r>
          </w:p>
        </w:tc>
      </w:tr>
      <w:tr>
        <w:tc>
          <w:tcPr>
            <w:tcW w:type="dxa" w:w="794"/>
          </w:tcPr>
          <w:p>
            <w:r/>
            <w:r>
              <w:rPr>
                <w:sz w:val="18"/>
              </w:rPr>
              <w:t>2</w:t>
            </w:r>
          </w:p>
        </w:tc>
        <w:tc>
          <w:tcPr>
            <w:tcW w:type="dxa" w:w="1814"/>
          </w:tcPr>
          <w:p>
            <w:r/>
            <w:r>
              <w:rPr>
                <w:sz w:val="18"/>
              </w:rPr>
              <w:t>Resumen estructurado</w:t>
            </w:r>
          </w:p>
        </w:tc>
        <w:tc>
          <w:tcPr>
            <w:tcW w:type="dxa" w:w="2154"/>
          </w:tcPr>
          <w:p>
            <w:r/>
            <w:r>
              <w:rPr>
                <w:sz w:val="18"/>
              </w:rPr>
              <w:t>Ver lista PRISMA for Abstracts</w:t>
            </w:r>
          </w:p>
        </w:tc>
        <w:tc>
          <w:tcPr>
            <w:tcW w:type="dxa" w:w="1361"/>
          </w:tcPr>
          <w:p>
            <w:r/>
            <w:r>
              <w:rPr>
                <w:sz w:val="18"/>
              </w:rPr>
              <w:t>CUMPLE</w:t>
            </w:r>
          </w:p>
        </w:tc>
        <w:tc>
          <w:tcPr>
            <w:tcW w:type="dxa" w:w="3515"/>
          </w:tcPr>
          <w:p>
            <w:r/>
            <w:r>
              <w:rPr>
                <w:sz w:val="18"/>
              </w:rPr>
              <w:t>Resumen</w:t>
            </w:r>
          </w:p>
        </w:tc>
      </w:tr>
      <w:tr>
        <w:tc>
          <w:tcPr>
            <w:tcW w:type="dxa" w:w="794"/>
          </w:tcPr>
          <w:p>
            <w:r/>
            <w:r>
              <w:rPr>
                <w:sz w:val="18"/>
              </w:rPr>
              <w:t>3</w:t>
            </w:r>
          </w:p>
        </w:tc>
        <w:tc>
          <w:tcPr>
            <w:tcW w:type="dxa" w:w="1814"/>
          </w:tcPr>
          <w:p>
            <w:r/>
            <w:r>
              <w:rPr>
                <w:sz w:val="18"/>
              </w:rPr>
              <w:t>Justificación</w:t>
            </w:r>
          </w:p>
        </w:tc>
        <w:tc>
          <w:tcPr>
            <w:tcW w:type="dxa" w:w="2154"/>
          </w:tcPr>
          <w:p>
            <w:r/>
            <w:r>
              <w:rPr>
                <w:sz w:val="18"/>
              </w:rPr>
              <w:t>Base racional en el contexto de lo conocido</w:t>
            </w:r>
          </w:p>
        </w:tc>
        <w:tc>
          <w:tcPr>
            <w:tcW w:type="dxa" w:w="1361"/>
          </w:tcPr>
          <w:p>
            <w:r/>
            <w:r>
              <w:rPr>
                <w:sz w:val="18"/>
              </w:rPr>
              <w:t>CUMPLE</w:t>
            </w:r>
          </w:p>
        </w:tc>
        <w:tc>
          <w:tcPr>
            <w:tcW w:type="dxa" w:w="3515"/>
          </w:tcPr>
          <w:p>
            <w:r/>
            <w:r>
              <w:rPr>
                <w:sz w:val="18"/>
              </w:rPr>
              <w:t>§1</w:t>
            </w:r>
          </w:p>
        </w:tc>
      </w:tr>
      <w:tr>
        <w:tc>
          <w:tcPr>
            <w:tcW w:type="dxa" w:w="794"/>
          </w:tcPr>
          <w:p>
            <w:r/>
            <w:r>
              <w:rPr>
                <w:sz w:val="18"/>
              </w:rPr>
              <w:t>4</w:t>
            </w:r>
          </w:p>
        </w:tc>
        <w:tc>
          <w:tcPr>
            <w:tcW w:type="dxa" w:w="1814"/>
          </w:tcPr>
          <w:p>
            <w:r/>
            <w:r>
              <w:rPr>
                <w:sz w:val="18"/>
              </w:rPr>
              <w:t>Objetivos</w:t>
            </w:r>
          </w:p>
        </w:tc>
        <w:tc>
          <w:tcPr>
            <w:tcW w:type="dxa" w:w="2154"/>
          </w:tcPr>
          <w:p>
            <w:r/>
            <w:r>
              <w:rPr>
                <w:sz w:val="18"/>
              </w:rPr>
              <w:t>Pregunta explícita</w:t>
            </w:r>
          </w:p>
        </w:tc>
        <w:tc>
          <w:tcPr>
            <w:tcW w:type="dxa" w:w="1361"/>
          </w:tcPr>
          <w:p>
            <w:r/>
            <w:r>
              <w:rPr>
                <w:sz w:val="18"/>
              </w:rPr>
              <w:t>CUMPLE</w:t>
            </w:r>
          </w:p>
        </w:tc>
        <w:tc>
          <w:tcPr>
            <w:tcW w:type="dxa" w:w="3515"/>
          </w:tcPr>
          <w:p>
            <w:r/>
            <w:r>
              <w:rPr>
                <w:sz w:val="18"/>
              </w:rPr>
              <w:t>§1, último párrafo</w:t>
            </w:r>
          </w:p>
        </w:tc>
      </w:tr>
      <w:tr>
        <w:tc>
          <w:tcPr>
            <w:tcW w:type="dxa" w:w="794"/>
          </w:tcPr>
          <w:p>
            <w:r/>
            <w:r>
              <w:rPr>
                <w:sz w:val="18"/>
              </w:rPr>
              <w:t>5</w:t>
            </w:r>
          </w:p>
        </w:tc>
        <w:tc>
          <w:tcPr>
            <w:tcW w:type="dxa" w:w="1814"/>
          </w:tcPr>
          <w:p>
            <w:r/>
            <w:r>
              <w:rPr>
                <w:sz w:val="18"/>
              </w:rPr>
              <w:t>Criterios de elegibilidad</w:t>
            </w:r>
          </w:p>
        </w:tc>
        <w:tc>
          <w:tcPr>
            <w:tcW w:type="dxa" w:w="2154"/>
          </w:tcPr>
          <w:p>
            <w:r/>
            <w:r>
              <w:rPr>
                <w:sz w:val="18"/>
              </w:rPr>
              <w:t>Y cómo se agruparon los estudios</w:t>
            </w:r>
          </w:p>
        </w:tc>
        <w:tc>
          <w:tcPr>
            <w:tcW w:type="dxa" w:w="1361"/>
          </w:tcPr>
          <w:p>
            <w:r/>
            <w:r>
              <w:rPr>
                <w:sz w:val="18"/>
              </w:rPr>
              <w:t>CUMPLE</w:t>
            </w:r>
          </w:p>
        </w:tc>
        <w:tc>
          <w:tcPr>
            <w:tcW w:type="dxa" w:w="3515"/>
          </w:tcPr>
          <w:p>
            <w:r/>
            <w:r>
              <w:rPr>
                <w:sz w:val="18"/>
              </w:rPr>
              <w:t>§2.2, incluido el criterio de idioma (inglés o español). S9 da el idioma informe por informe y la prueba en que se apoya (el título y el resumen en 200 de los 233 informes). S10 da el idioma del cuerpo del PDF de cada uno de los 65 estudios del corpus: una detección mecánica (palabras vacías de 8 idiomas y fracción de caracteres cirílicos y CJK) que hace comprueba_idioma_cuerpo.py, un guion del canal escrito por el modelo, introducida el 6 de octubre de 2026 y rehecha en cada pasada del canal. Da inglés en los 65; la columna mirar_a_mano marca 1 PDF para revisarlo página a página por su fracción de cirílico o CJK (EST-075)</w:t>
            </w:r>
          </w:p>
        </w:tc>
      </w:tr>
      <w:tr>
        <w:tc>
          <w:tcPr>
            <w:tcW w:type="dxa" w:w="794"/>
          </w:tcPr>
          <w:p>
            <w:r/>
            <w:r>
              <w:rPr>
                <w:sz w:val="18"/>
              </w:rPr>
              <w:t>6</w:t>
            </w:r>
          </w:p>
        </w:tc>
        <w:tc>
          <w:tcPr>
            <w:tcW w:type="dxa" w:w="1814"/>
          </w:tcPr>
          <w:p>
            <w:r/>
            <w:r>
              <w:rPr>
                <w:sz w:val="18"/>
              </w:rPr>
              <w:t>Fuentes de información</w:t>
            </w:r>
          </w:p>
        </w:tc>
        <w:tc>
          <w:tcPr>
            <w:tcW w:type="dxa" w:w="2154"/>
          </w:tcPr>
          <w:p>
            <w:r/>
            <w:r>
              <w:rPr>
                <w:sz w:val="18"/>
              </w:rPr>
              <w:t>Todas, con fecha de la última búsqueda</w:t>
            </w:r>
          </w:p>
        </w:tc>
        <w:tc>
          <w:tcPr>
            <w:tcW w:type="dxa" w:w="1361"/>
          </w:tcPr>
          <w:p>
            <w:r/>
            <w:r>
              <w:rPr>
                <w:sz w:val="18"/>
              </w:rPr>
              <w:t>PARCIAL</w:t>
            </w:r>
          </w:p>
        </w:tc>
        <w:tc>
          <w:tcPr>
            <w:tcW w:type="dxa" w:w="3515"/>
          </w:tcPr>
          <w:p>
            <w:r/>
            <w:r>
              <w:rPr>
                <w:sz w:val="18"/>
              </w:rPr>
              <w:t>§2.3 y S2. No hay fecha de ejecución por fuente. Las ejecuciones documentadas son del 3 y el 4 de agosto de 2026, y la exportación de BVS se incorporó al corpus el 10 de agosto; la ejecución de Scopus cuya exportación entró al corpus no tiene fecha registrada (el fichero de su brazo B se terminó de escribir el 5 de agosto)</w:t>
            </w:r>
          </w:p>
        </w:tc>
      </w:tr>
      <w:tr>
        <w:tc>
          <w:tcPr>
            <w:tcW w:type="dxa" w:w="794"/>
          </w:tcPr>
          <w:p>
            <w:r/>
            <w:r>
              <w:rPr>
                <w:sz w:val="18"/>
              </w:rPr>
              <w:t>7</w:t>
            </w:r>
          </w:p>
        </w:tc>
        <w:tc>
          <w:tcPr>
            <w:tcW w:type="dxa" w:w="1814"/>
          </w:tcPr>
          <w:p>
            <w:r/>
            <w:r>
              <w:rPr>
                <w:sz w:val="18"/>
              </w:rPr>
              <w:t>Estrategia de búsqueda</w:t>
            </w:r>
          </w:p>
        </w:tc>
        <w:tc>
          <w:tcPr>
            <w:tcW w:type="dxa" w:w="2154"/>
          </w:tcPr>
          <w:p>
            <w:r/>
            <w:r>
              <w:rPr>
                <w:sz w:val="18"/>
              </w:rPr>
              <w:t>Literal, para cada base y registro</w:t>
            </w:r>
          </w:p>
        </w:tc>
        <w:tc>
          <w:tcPr>
            <w:tcW w:type="dxa" w:w="1361"/>
          </w:tcPr>
          <w:p>
            <w:r/>
            <w:r>
              <w:rPr>
                <w:sz w:val="18"/>
              </w:rPr>
              <w:t>CUMPLE</w:t>
            </w:r>
          </w:p>
        </w:tc>
        <w:tc>
          <w:tcPr>
            <w:tcW w:type="dxa" w:w="3515"/>
          </w:tcPr>
          <w:p>
            <w:r/>
            <w:r>
              <w:rPr>
                <w:sz w:val="18"/>
              </w:rPr>
              <w:t>§2.3 y S2</w:t>
            </w:r>
          </w:p>
        </w:tc>
      </w:tr>
      <w:tr>
        <w:tc>
          <w:tcPr>
            <w:tcW w:type="dxa" w:w="794"/>
          </w:tcPr>
          <w:p>
            <w:r/>
            <w:r>
              <w:rPr>
                <w:sz w:val="18"/>
              </w:rPr>
              <w:t>8</w:t>
            </w:r>
          </w:p>
        </w:tc>
        <w:tc>
          <w:tcPr>
            <w:tcW w:type="dxa" w:w="1814"/>
          </w:tcPr>
          <w:p>
            <w:r/>
            <w:r>
              <w:rPr>
                <w:sz w:val="18"/>
              </w:rPr>
              <w:t>Proceso de selección</w:t>
            </w:r>
          </w:p>
        </w:tc>
        <w:tc>
          <w:tcPr>
            <w:tcW w:type="dxa" w:w="2154"/>
          </w:tcPr>
          <w:p>
            <w:r/>
            <w:r>
              <w:rPr>
                <w:sz w:val="18"/>
              </w:rPr>
              <w:t>Cuántos revisores, cómo trabajaron</w:t>
            </w:r>
          </w:p>
        </w:tc>
        <w:tc>
          <w:tcPr>
            <w:tcW w:type="dxa" w:w="1361"/>
          </w:tcPr>
          <w:p>
            <w:r/>
            <w:r>
              <w:rPr>
                <w:sz w:val="18"/>
              </w:rPr>
              <w:t>PARCIAL</w:t>
            </w:r>
          </w:p>
        </w:tc>
        <w:tc>
          <w:tcPr>
            <w:tcW w:type="dxa" w:w="3515"/>
          </w:tcPr>
          <w:p>
            <w:r/>
            <w:r>
              <w:rPr>
                <w:sz w:val="18"/>
              </w:rPr>
              <w:t>§2.4; la etapa 1 aplica reglas deterministas, y las decisiones registro a registro de las etapas 2 y 3 las emitió un modelo de lenguaje (Claude Opus 5) como revisor único, sin duplicación. El cribado empezó el 4 de agosto de 2026 por la mañana con una primera pasada del modelo sobre el brazo A de PubMed (1 321 filas de título y 195 de resumen), que el cribado del pozo sustituyó desde las 23:49 del mismo día; en ella el modelo metió en sus guiones, a mitad de lote, dos reglas que concretan los criterios —endolisinas aisladas fuera (intervención) e informes veterinarios fuera (población)—, sin que conste una decisión de los autores, y la auditoría de controles positivos cazó la exclusión de Ronit 2024 (S6 y S19). El vocabulario de motivos no se fijó antes de empezar: el 4 de agosto de 2026 (primer día de cribado de títulos) el modelo escribió los motivos en texto libre, y los códigos, cuya redacción procede de esos textos, se usaron en el título desde el 5 de agosto de 2026; no consta que los autores los fijaran antes. En la etapa de resumen, las 77 filas que el pozo heredó de la primera pasada conservan su motivo en inglés (S19). D.V. fue el único revisor humano. Según declara D.V. (8 de octubre de 2026), examinó uno a uno los informes que superaron el cribado; ese examen no quedó registrado. Lo que el modelo excluyó no lo releyó ningún humano, salvo la muestra de 350 del recribado (S19). Declarado en §2.4 y como primera limitación en §4.4. Cada decisión del cribado vigente está registrada con su motivo y su marca de tiempo, y se aporta íntegra (S3, S4); la primera pasada del 4 de agosto sobre el brazo A de PubMed, que el cribado del pozo sustituyó, consta en el repositorio y no en S3</w:t>
            </w:r>
          </w:p>
        </w:tc>
      </w:tr>
      <w:tr>
        <w:tc>
          <w:tcPr>
            <w:tcW w:type="dxa" w:w="794"/>
          </w:tcPr>
          <w:p>
            <w:r/>
            <w:r>
              <w:rPr>
                <w:sz w:val="18"/>
              </w:rPr>
              <w:t>9</w:t>
            </w:r>
          </w:p>
        </w:tc>
        <w:tc>
          <w:tcPr>
            <w:tcW w:type="dxa" w:w="1814"/>
          </w:tcPr>
          <w:p>
            <w:r/>
            <w:r>
              <w:rPr>
                <w:sz w:val="18"/>
              </w:rPr>
              <w:t>Proceso de extracción</w:t>
            </w:r>
          </w:p>
        </w:tc>
        <w:tc>
          <w:tcPr>
            <w:tcW w:type="dxa" w:w="2154"/>
          </w:tcPr>
          <w:p>
            <w:r/>
            <w:r>
              <w:rPr>
                <w:sz w:val="18"/>
              </w:rPr>
              <w:t>Cuántos revisores, herramientas</w:t>
            </w:r>
          </w:p>
        </w:tc>
        <w:tc>
          <w:tcPr>
            <w:tcW w:type="dxa" w:w="1361"/>
          </w:tcPr>
          <w:p>
            <w:r/>
            <w:r>
              <w:rPr>
                <w:sz w:val="18"/>
              </w:rPr>
              <w:t>CUMPLE</w:t>
            </w:r>
          </w:p>
        </w:tc>
        <w:tc>
          <w:tcPr>
            <w:tcW w:type="dxa" w:w="3515"/>
          </w:tcPr>
          <w:p>
            <w:r/>
            <w:r>
              <w:rPr>
                <w:sz w:val="18"/>
              </w:rPr>
              <w:t>§2.6; extracción por duplicado (122 de 124 estudios), con la concordancia medida antes de resolver y 539 de 541 desacuerdos adjudicados; el registro anota a los dos revisores en 14 y a uno solo en 525, y 2 se cerraron por una regla mecánica sin firma conjunta. La independencia de las dos extracciones no está acreditada: la columna de texto libre que localiza cada dato coincide entre los dos cuadernos en 107 de 107 filas, erratas incluidas. S11 y S12 aportan el rastro</w:t>
            </w:r>
          </w:p>
        </w:tc>
      </w:tr>
      <w:tr>
        <w:tc>
          <w:tcPr>
            <w:tcW w:type="dxa" w:w="794"/>
          </w:tcPr>
          <w:p>
            <w:r/>
            <w:r>
              <w:rPr>
                <w:sz w:val="18"/>
              </w:rPr>
              <w:t>10a</w:t>
            </w:r>
          </w:p>
        </w:tc>
        <w:tc>
          <w:tcPr>
            <w:tcW w:type="dxa" w:w="1814"/>
          </w:tcPr>
          <w:p>
            <w:r/>
            <w:r>
              <w:rPr>
                <w:sz w:val="18"/>
              </w:rPr>
              <w:t>Variables de desenlace</w:t>
            </w:r>
          </w:p>
        </w:tc>
        <w:tc>
          <w:tcPr>
            <w:tcW w:type="dxa" w:w="2154"/>
          </w:tcPr>
          <w:p>
            <w:r/>
            <w:r>
              <w:rPr>
                <w:sz w:val="18"/>
              </w:rPr>
              <w:t>Lista y definiciones</w:t>
            </w:r>
          </w:p>
        </w:tc>
        <w:tc>
          <w:tcPr>
            <w:tcW w:type="dxa" w:w="1361"/>
          </w:tcPr>
          <w:p>
            <w:r/>
            <w:r>
              <w:rPr>
                <w:sz w:val="18"/>
              </w:rPr>
              <w:t>PARCIAL</w:t>
            </w:r>
          </w:p>
        </w:tc>
        <w:tc>
          <w:tcPr>
            <w:tcW w:type="dxa" w:w="3515"/>
          </w:tcPr>
          <w:p>
            <w:r/>
            <w:r>
              <w:rPr>
                <w:sz w:val="18"/>
              </w:rPr>
              <w:t>§2.2 las lista; S4 no contiene definiciones de desenlace porque ningún resumen del corpus las declara. Las definiciones de los textos completos leídos se discuten en §3.5 y §3.6</w:t>
            </w:r>
          </w:p>
        </w:tc>
      </w:tr>
      <w:tr>
        <w:tc>
          <w:tcPr>
            <w:tcW w:type="dxa" w:w="794"/>
          </w:tcPr>
          <w:p>
            <w:r/>
            <w:r>
              <w:rPr>
                <w:sz w:val="18"/>
              </w:rPr>
              <w:t>10b</w:t>
            </w:r>
          </w:p>
        </w:tc>
        <w:tc>
          <w:tcPr>
            <w:tcW w:type="dxa" w:w="1814"/>
          </w:tcPr>
          <w:p>
            <w:r/>
            <w:r>
              <w:rPr>
                <w:sz w:val="18"/>
              </w:rPr>
              <w:t>Otras variables</w:t>
            </w:r>
          </w:p>
        </w:tc>
        <w:tc>
          <w:tcPr>
            <w:tcW w:type="dxa" w:w="2154"/>
          </w:tcPr>
          <w:p>
            <w:r/>
            <w:r>
              <w:rPr>
                <w:sz w:val="18"/>
              </w:rPr>
              <w:t>Lista y definiciones</w:t>
            </w:r>
          </w:p>
        </w:tc>
        <w:tc>
          <w:tcPr>
            <w:tcW w:type="dxa" w:w="1361"/>
          </w:tcPr>
          <w:p>
            <w:r/>
            <w:r>
              <w:rPr>
                <w:sz w:val="18"/>
              </w:rPr>
              <w:t>CUMPLE</w:t>
            </w:r>
          </w:p>
        </w:tc>
        <w:tc>
          <w:tcPr>
            <w:tcW w:type="dxa" w:w="3515"/>
          </w:tcPr>
          <w:p>
            <w:r/>
            <w:r>
              <w:rPr>
                <w:sz w:val="18"/>
              </w:rPr>
              <w:t>S4</w:t>
            </w:r>
          </w:p>
        </w:tc>
      </w:tr>
      <w:tr>
        <w:tc>
          <w:tcPr>
            <w:tcW w:type="dxa" w:w="794"/>
          </w:tcPr>
          <w:p>
            <w:r/>
            <w:r>
              <w:rPr>
                <w:sz w:val="18"/>
              </w:rPr>
              <w:t>11</w:t>
            </w:r>
          </w:p>
        </w:tc>
        <w:tc>
          <w:tcPr>
            <w:tcW w:type="dxa" w:w="1814"/>
          </w:tcPr>
          <w:p>
            <w:r/>
            <w:r>
              <w:rPr>
                <w:sz w:val="18"/>
              </w:rPr>
              <w:t>Riesgo de sesgo</w:t>
            </w:r>
          </w:p>
        </w:tc>
        <w:tc>
          <w:tcPr>
            <w:tcW w:type="dxa" w:w="2154"/>
          </w:tcPr>
          <w:p>
            <w:r/>
            <w:r>
              <w:rPr>
                <w:sz w:val="18"/>
              </w:rPr>
              <w:t>Herramienta, cuántos revisores</w:t>
            </w:r>
          </w:p>
        </w:tc>
        <w:tc>
          <w:tcPr>
            <w:tcW w:type="dxa" w:w="1361"/>
          </w:tcPr>
          <w:p>
            <w:r/>
            <w:r>
              <w:rPr>
                <w:sz w:val="18"/>
              </w:rPr>
              <w:t>CUMPLE</w:t>
            </w:r>
          </w:p>
        </w:tc>
        <w:tc>
          <w:tcPr>
            <w:tcW w:type="dxa" w:w="3515"/>
          </w:tcPr>
          <w:p>
            <w:r/>
            <w:r>
              <w:rPr>
                <w:sz w:val="18"/>
              </w:rPr>
              <w:t>9 de los 9 estudios con diseño comparativo adjudicado sobre el artículo (RoB 2 en los aleatorizados, ROBINS-I en los no aleatorizados y las cohortes), a nivel de dominio. Se declaró evaluación por consenso. Hubo dos cuadernos, uno a nombre de cada autor, sin independencia acreditada: compartían 7 418 caracteres de notas idénticas, y el registro del 5 de septiembre de 2026 concluye que un cuaderno salió del otro. El canal que escribió el modelo de lenguaje generó el cuaderno de consenso con los juicios coincidentes precargados y los discrepantes en blanco; lo firmaron los dos autores el 9 de septiembre de 2026, y los 11 desacuerdos se resolvieron hacia el cuaderno de D.V. La concordancia (49 de 60 juicios, kappa 0,74) no mide dos evaluaciones independientes. Los reportes y series de casos no se evalúan con instrumento formal, por decisión: §2.7 dice por qué. La limitación consta en §4.4</w:t>
            </w:r>
          </w:p>
        </w:tc>
      </w:tr>
      <w:tr>
        <w:tc>
          <w:tcPr>
            <w:tcW w:type="dxa" w:w="794"/>
          </w:tcPr>
          <w:p>
            <w:r/>
            <w:r>
              <w:rPr>
                <w:sz w:val="18"/>
              </w:rPr>
              <w:t>12</w:t>
            </w:r>
          </w:p>
        </w:tc>
        <w:tc>
          <w:tcPr>
            <w:tcW w:type="dxa" w:w="1814"/>
          </w:tcPr>
          <w:p>
            <w:r/>
            <w:r>
              <w:rPr>
                <w:sz w:val="18"/>
              </w:rPr>
              <w:t>Medidas del efecto</w:t>
            </w:r>
          </w:p>
        </w:tc>
        <w:tc>
          <w:tcPr>
            <w:tcW w:type="dxa" w:w="2154"/>
          </w:tcPr>
          <w:p>
            <w:r/>
            <w:r>
              <w:rPr>
                <w:sz w:val="18"/>
              </w:rPr>
              <w:t>Para cada desenlace</w:t>
            </w:r>
          </w:p>
        </w:tc>
        <w:tc>
          <w:tcPr>
            <w:tcW w:type="dxa" w:w="1361"/>
          </w:tcPr>
          <w:p>
            <w:r/>
            <w:r>
              <w:rPr>
                <w:sz w:val="18"/>
              </w:rPr>
              <w:t>NO APLICA</w:t>
            </w:r>
          </w:p>
        </w:tc>
        <w:tc>
          <w:tcPr>
            <w:tcW w:type="dxa" w:w="3515"/>
          </w:tcPr>
          <w:p>
            <w:r/>
            <w:r>
              <w:rPr>
                <w:sz w:val="18"/>
              </w:rPr>
              <w:t>Este informe no presenta estimaciones de efecto. §3.5 mide la completitud con que se reportan los desenlaces; §3.6 explica por qué no se agregan</w:t>
            </w:r>
          </w:p>
        </w:tc>
      </w:tr>
      <w:tr>
        <w:tc>
          <w:tcPr>
            <w:tcW w:type="dxa" w:w="794"/>
          </w:tcPr>
          <w:p>
            <w:r/>
            <w:r>
              <w:rPr>
                <w:sz w:val="18"/>
              </w:rPr>
              <w:t>13a-f</w:t>
            </w:r>
          </w:p>
        </w:tc>
        <w:tc>
          <w:tcPr>
            <w:tcW w:type="dxa" w:w="1814"/>
          </w:tcPr>
          <w:p>
            <w:r/>
            <w:r>
              <w:rPr>
                <w:sz w:val="18"/>
              </w:rPr>
              <w:t>Métodos de síntesis</w:t>
            </w:r>
          </w:p>
        </w:tc>
        <w:tc>
          <w:tcPr>
            <w:tcW w:type="dxa" w:w="2154"/>
          </w:tcPr>
          <w:p>
            <w:r/>
            <w:r>
              <w:rPr>
                <w:sz w:val="18"/>
              </w:rPr>
              <w:t>Incluida la decisión de no agrupar</w:t>
            </w:r>
          </w:p>
        </w:tc>
        <w:tc>
          <w:tcPr>
            <w:tcW w:type="dxa" w:w="1361"/>
          </w:tcPr>
          <w:p>
            <w:r/>
            <w:r>
              <w:rPr>
                <w:sz w:val="18"/>
              </w:rPr>
              <w:t>CUMPLE</w:t>
            </w:r>
          </w:p>
        </w:tc>
        <w:tc>
          <w:tcPr>
            <w:tcW w:type="dxa" w:w="3515"/>
          </w:tcPr>
          <w:p>
            <w:r/>
            <w:r>
              <w:rPr>
                <w:sz w:val="18"/>
              </w:rPr>
              <w:t>§2.8 y §3.6, con la justificación de por qué no se agrupa</w:t>
            </w:r>
          </w:p>
        </w:tc>
      </w:tr>
      <w:tr>
        <w:tc>
          <w:tcPr>
            <w:tcW w:type="dxa" w:w="794"/>
          </w:tcPr>
          <w:p>
            <w:r/>
            <w:r>
              <w:rPr>
                <w:sz w:val="18"/>
              </w:rPr>
              <w:t>14</w:t>
            </w:r>
          </w:p>
        </w:tc>
        <w:tc>
          <w:tcPr>
            <w:tcW w:type="dxa" w:w="1814"/>
          </w:tcPr>
          <w:p>
            <w:r/>
            <w:r>
              <w:rPr>
                <w:sz w:val="18"/>
              </w:rPr>
              <w:t>Sesgo de publicación</w:t>
            </w:r>
          </w:p>
        </w:tc>
        <w:tc>
          <w:tcPr>
            <w:tcW w:type="dxa" w:w="2154"/>
          </w:tcPr>
          <w:p>
            <w:r/>
            <w:r>
              <w:rPr>
                <w:sz w:val="18"/>
              </w:rPr>
              <w:t>Métodos de evaluación</w:t>
            </w:r>
          </w:p>
        </w:tc>
        <w:tc>
          <w:tcPr>
            <w:tcW w:type="dxa" w:w="1361"/>
          </w:tcPr>
          <w:p>
            <w:r/>
            <w:r>
              <w:rPr>
                <w:sz w:val="18"/>
              </w:rPr>
              <w:t>PARCIAL</w:t>
            </w:r>
          </w:p>
        </w:tc>
        <w:tc>
          <w:tcPr>
            <w:tcW w:type="dxa" w:w="3515"/>
          </w:tcPr>
          <w:p>
            <w:r/>
            <w:r>
              <w:rPr>
                <w:sz w:val="18"/>
              </w:rPr>
              <w:t>§4.3 documenta que 42 de los 128 estudios que llegaron al criterio del texto completo eran solo fichas de registro, sin publicación localizable; el criterio los saca del corpus, no del campo. No se aplicaron pruebas estadísticas por no haber síntesis cuantitativa</w:t>
            </w:r>
          </w:p>
        </w:tc>
      </w:tr>
      <w:tr>
        <w:tc>
          <w:tcPr>
            <w:tcW w:type="dxa" w:w="794"/>
          </w:tcPr>
          <w:p>
            <w:r/>
            <w:r>
              <w:rPr>
                <w:sz w:val="18"/>
              </w:rPr>
              <w:t>15</w:t>
            </w:r>
          </w:p>
        </w:tc>
        <w:tc>
          <w:tcPr>
            <w:tcW w:type="dxa" w:w="1814"/>
          </w:tcPr>
          <w:p>
            <w:r/>
            <w:r>
              <w:rPr>
                <w:sz w:val="18"/>
              </w:rPr>
              <w:t>Certeza de la evidencia</w:t>
            </w:r>
          </w:p>
        </w:tc>
        <w:tc>
          <w:tcPr>
            <w:tcW w:type="dxa" w:w="2154"/>
          </w:tcPr>
          <w:p>
            <w:r/>
            <w:r>
              <w:rPr>
                <w:sz w:val="18"/>
              </w:rPr>
              <w:t>GRADE u otro</w:t>
            </w:r>
          </w:p>
        </w:tc>
        <w:tc>
          <w:tcPr>
            <w:tcW w:type="dxa" w:w="1361"/>
          </w:tcPr>
          <w:p>
            <w:r/>
            <w:r>
              <w:rPr>
                <w:sz w:val="18"/>
              </w:rPr>
              <w:t>NO APLICA</w:t>
            </w:r>
          </w:p>
        </w:tc>
        <w:tc>
          <w:tcPr>
            <w:tcW w:type="dxa" w:w="3515"/>
          </w:tcPr>
          <w:p>
            <w:r/>
            <w:r>
              <w:rPr>
                <w:sz w:val="18"/>
              </w:rPr>
              <w:t>§2.7: GRADE califica la certeza de una estimación agrupada y este informe no presenta ninguna. §3.5 y la Tabla 6 (en el manuscrito de la revista, también la Tabla 6) muestran que, tras aplicar los criterios de elegibilidad de §2.2, NINGÚN brazo del corpus podría entrar en una proporción agrupada de éxito clínico</w:t>
            </w:r>
          </w:p>
        </w:tc>
      </w:tr>
      <w:tr>
        <w:tc>
          <w:tcPr>
            <w:tcW w:type="dxa" w:w="794"/>
          </w:tcPr>
          <w:p>
            <w:r/>
            <w:r>
              <w:rPr>
                <w:sz w:val="18"/>
              </w:rPr>
              <w:t>16a</w:t>
            </w:r>
          </w:p>
        </w:tc>
        <w:tc>
          <w:tcPr>
            <w:tcW w:type="dxa" w:w="1814"/>
          </w:tcPr>
          <w:p>
            <w:r/>
            <w:r>
              <w:rPr>
                <w:sz w:val="18"/>
              </w:rPr>
              <w:t>Selección de estudios</w:t>
            </w:r>
          </w:p>
        </w:tc>
        <w:tc>
          <w:tcPr>
            <w:tcW w:type="dxa" w:w="2154"/>
          </w:tcPr>
          <w:p>
            <w:r/>
            <w:r>
              <w:rPr>
                <w:sz w:val="18"/>
              </w:rPr>
              <w:t>Flujo con números</w:t>
            </w:r>
          </w:p>
        </w:tc>
        <w:tc>
          <w:tcPr>
            <w:tcW w:type="dxa" w:w="1361"/>
          </w:tcPr>
          <w:p>
            <w:r/>
            <w:r>
              <w:rPr>
                <w:sz w:val="18"/>
              </w:rPr>
              <w:t>CUMPLE</w:t>
            </w:r>
          </w:p>
        </w:tc>
        <w:tc>
          <w:tcPr>
            <w:tcW w:type="dxa" w:w="3515"/>
          </w:tcPr>
          <w:p>
            <w:r/>
            <w:r>
              <w:rPr>
                <w:sz w:val="18"/>
              </w:rPr>
              <w:t>§3.1 y Figura 1</w:t>
            </w:r>
          </w:p>
        </w:tc>
      </w:tr>
      <w:tr>
        <w:tc>
          <w:tcPr>
            <w:tcW w:type="dxa" w:w="794"/>
          </w:tcPr>
          <w:p>
            <w:r/>
            <w:r>
              <w:rPr>
                <w:sz w:val="18"/>
              </w:rPr>
              <w:t>16b</w:t>
            </w:r>
          </w:p>
        </w:tc>
        <w:tc>
          <w:tcPr>
            <w:tcW w:type="dxa" w:w="1814"/>
          </w:tcPr>
          <w:p>
            <w:r/>
            <w:r>
              <w:rPr>
                <w:sz w:val="18"/>
              </w:rPr>
              <w:t>Excluidos en texto completo</w:t>
            </w:r>
          </w:p>
        </w:tc>
        <w:tc>
          <w:tcPr>
            <w:tcW w:type="dxa" w:w="2154"/>
          </w:tcPr>
          <w:p>
            <w:r/>
            <w:r>
              <w:rPr>
                <w:sz w:val="18"/>
              </w:rPr>
              <w:t>Con motivos</w:t>
            </w:r>
          </w:p>
        </w:tc>
        <w:tc>
          <w:tcPr>
            <w:tcW w:type="dxa" w:w="1361"/>
          </w:tcPr>
          <w:p>
            <w:r/>
            <w:r>
              <w:rPr>
                <w:sz w:val="18"/>
              </w:rPr>
              <w:t>CUMPLE</w:t>
            </w:r>
          </w:p>
        </w:tc>
        <w:tc>
          <w:tcPr>
            <w:tcW w:type="dxa" w:w="3515"/>
          </w:tcPr>
          <w:p>
            <w:r/>
            <w:r>
              <w:rPr>
                <w:sz w:val="18"/>
              </w:rPr>
              <w:t>§3.1.1 y S16: 118 estudios que el cribado había admitido se excluyeron en la fase de texto completo, cada uno con su código de motivo. 63 (NOPDF) y 4 (NOREC) se excluyeron porque no se consiguió o no se pudo leer el artículo, no porque se haya comprobado que incumplen los criterios, y no llevan cita; otros 4 llevan solo el motivo. Los 47 restantes llevan la frase del texto leído (artículo o ficha de registro) que sostiene la exclusión, salvo EST-205 (REV), decidido sobre la indexación de SciELO sin leer el texto. De las 118 exclusiones, 89 llevan la firma de los dos autores, 2 la de D.V. solo (EST-118 y EST-205) y 27 se registraron por orden de D.V. del 1 y el 2 de septiembre de 2026, sin que conste la firma de N.T. El modelo leyó los textos completos y las fichas de registro y propuso, con su cita, las exclusiones que se apoyan en los textos que leyó. S3 recoge además los motivos de las etapas 2 y 3 del cribado vigente tal como se escribieron</w:t>
            </w:r>
          </w:p>
        </w:tc>
      </w:tr>
      <w:tr>
        <w:tc>
          <w:tcPr>
            <w:tcW w:type="dxa" w:w="794"/>
          </w:tcPr>
          <w:p>
            <w:r/>
            <w:r>
              <w:rPr>
                <w:sz w:val="18"/>
              </w:rPr>
              <w:t>17</w:t>
            </w:r>
          </w:p>
        </w:tc>
        <w:tc>
          <w:tcPr>
            <w:tcW w:type="dxa" w:w="1814"/>
          </w:tcPr>
          <w:p>
            <w:r/>
            <w:r>
              <w:rPr>
                <w:sz w:val="18"/>
              </w:rPr>
              <w:t>Características de los estudios</w:t>
            </w:r>
          </w:p>
        </w:tc>
        <w:tc>
          <w:tcPr>
            <w:tcW w:type="dxa" w:w="2154"/>
          </w:tcPr>
          <w:p>
            <w:r/>
            <w:r>
              <w:rPr>
                <w:sz w:val="18"/>
              </w:rPr>
              <w:t>De cada uno</w:t>
            </w:r>
          </w:p>
        </w:tc>
        <w:tc>
          <w:tcPr>
            <w:tcW w:type="dxa" w:w="1361"/>
          </w:tcPr>
          <w:p>
            <w:r/>
            <w:r>
              <w:rPr>
                <w:sz w:val="18"/>
              </w:rPr>
              <w:t>CUMPLE</w:t>
            </w:r>
          </w:p>
        </w:tc>
        <w:tc>
          <w:tcPr>
            <w:tcW w:type="dxa" w:w="3515"/>
          </w:tcPr>
          <w:p>
            <w:r/>
            <w:r>
              <w:rPr>
                <w:sz w:val="18"/>
              </w:rPr>
              <w:t>Tabla 1 (en el manuscrito de la revista, Tabla 2), y listado completo en S5</w:t>
            </w:r>
          </w:p>
        </w:tc>
      </w:tr>
      <w:tr>
        <w:tc>
          <w:tcPr>
            <w:tcW w:type="dxa" w:w="794"/>
          </w:tcPr>
          <w:p>
            <w:r/>
            <w:r>
              <w:rPr>
                <w:sz w:val="18"/>
              </w:rPr>
              <w:t>18</w:t>
            </w:r>
          </w:p>
        </w:tc>
        <w:tc>
          <w:tcPr>
            <w:tcW w:type="dxa" w:w="1814"/>
          </w:tcPr>
          <w:p>
            <w:r/>
            <w:r>
              <w:rPr>
                <w:sz w:val="18"/>
              </w:rPr>
              <w:t>Riesgo de sesgo por estudio</w:t>
            </w:r>
          </w:p>
        </w:tc>
        <w:tc>
          <w:tcPr>
            <w:tcW w:type="dxa" w:w="2154"/>
          </w:tcPr>
          <w:p>
            <w:r/>
            <w:r>
              <w:rPr>
                <w:sz w:val="18"/>
              </w:rPr>
            </w:r>
          </w:p>
        </w:tc>
        <w:tc>
          <w:tcPr>
            <w:tcW w:type="dxa" w:w="1361"/>
          </w:tcPr>
          <w:p>
            <w:r/>
            <w:r>
              <w:rPr>
                <w:sz w:val="18"/>
              </w:rPr>
              <w:t>CUMPLE</w:t>
            </w:r>
          </w:p>
        </w:tc>
        <w:tc>
          <w:tcPr>
            <w:tcW w:type="dxa" w:w="3515"/>
          </w:tcPr>
          <w:p>
            <w:r/>
            <w:r>
              <w:rPr>
                <w:sz w:val="18"/>
              </w:rPr>
              <w:t>Tabla de dominios con los 68 juicios, estudio por estudio: §3.7 y Tabla 7 (en el manuscrito de la revista, la Tabla 5, en RESULTADOS › Riesgo de sesgo)</w:t>
            </w:r>
          </w:p>
        </w:tc>
      </w:tr>
      <w:tr>
        <w:tc>
          <w:tcPr>
            <w:tcW w:type="dxa" w:w="794"/>
          </w:tcPr>
          <w:p>
            <w:r/>
            <w:r>
              <w:rPr>
                <w:sz w:val="18"/>
              </w:rPr>
              <w:t>19</w:t>
            </w:r>
          </w:p>
        </w:tc>
        <w:tc>
          <w:tcPr>
            <w:tcW w:type="dxa" w:w="1814"/>
          </w:tcPr>
          <w:p>
            <w:r/>
            <w:r>
              <w:rPr>
                <w:sz w:val="18"/>
              </w:rPr>
              <w:t>Resultados de los estudios</w:t>
            </w:r>
          </w:p>
        </w:tc>
        <w:tc>
          <w:tcPr>
            <w:tcW w:type="dxa" w:w="2154"/>
          </w:tcPr>
          <w:p>
            <w:r/>
            <w:r>
              <w:rPr>
                <w:sz w:val="18"/>
              </w:rPr>
            </w:r>
          </w:p>
        </w:tc>
        <w:tc>
          <w:tcPr>
            <w:tcW w:type="dxa" w:w="1361"/>
          </w:tcPr>
          <w:p>
            <w:r/>
            <w:r>
              <w:rPr>
                <w:sz w:val="18"/>
              </w:rPr>
              <w:t>PARCIAL</w:t>
            </w:r>
          </w:p>
        </w:tc>
        <w:tc>
          <w:tcPr>
            <w:tcW w:type="dxa" w:w="3515"/>
          </w:tcPr>
          <w:p>
            <w:r/>
            <w:r>
              <w:rPr>
                <w:sz w:val="18"/>
              </w:rPr>
              <w:t>§3.5 y las Tablas 5 y 6 (en el manuscrito de la revista, Tablas 4 y 6) reportan la COMPLETITUD con que cada estudio declara los cinco desenlaces, no sus estimaciones de efecto. El dato brazo a brazo se aporta en S14, y la procedencia de cada casilla en S15</w:t>
            </w:r>
          </w:p>
        </w:tc>
      </w:tr>
      <w:tr>
        <w:tc>
          <w:tcPr>
            <w:tcW w:type="dxa" w:w="794"/>
          </w:tcPr>
          <w:p>
            <w:r/>
            <w:r>
              <w:rPr>
                <w:sz w:val="18"/>
              </w:rPr>
              <w:t>20a-d</w:t>
            </w:r>
          </w:p>
        </w:tc>
        <w:tc>
          <w:tcPr>
            <w:tcW w:type="dxa" w:w="1814"/>
          </w:tcPr>
          <w:p>
            <w:r/>
            <w:r>
              <w:rPr>
                <w:sz w:val="18"/>
              </w:rPr>
              <w:t>Resultados de la síntesis</w:t>
            </w:r>
          </w:p>
        </w:tc>
        <w:tc>
          <w:tcPr>
            <w:tcW w:type="dxa" w:w="2154"/>
          </w:tcPr>
          <w:p>
            <w:r/>
            <w:r>
              <w:rPr>
                <w:sz w:val="18"/>
              </w:rPr>
            </w:r>
          </w:p>
        </w:tc>
        <w:tc>
          <w:tcPr>
            <w:tcW w:type="dxa" w:w="1361"/>
          </w:tcPr>
          <w:p>
            <w:r/>
            <w:r>
              <w:rPr>
                <w:sz w:val="18"/>
              </w:rPr>
              <w:t>CUMPLE</w:t>
            </w:r>
          </w:p>
        </w:tc>
        <w:tc>
          <w:tcPr>
            <w:tcW w:type="dxa" w:w="3515"/>
          </w:tcPr>
          <w:p>
            <w:r/>
            <w:r>
              <w:rPr>
                <w:sz w:val="18"/>
              </w:rPr>
              <w:t>§3.3 a §3.6; la síntesis es de estructura y de completitud de reporte, no de eficacia, y §3.6 razona por qué no puede ser otra</w:t>
            </w:r>
          </w:p>
        </w:tc>
      </w:tr>
      <w:tr>
        <w:tc>
          <w:tcPr>
            <w:tcW w:type="dxa" w:w="794"/>
          </w:tcPr>
          <w:p>
            <w:r/>
            <w:r>
              <w:rPr>
                <w:sz w:val="18"/>
              </w:rPr>
              <w:t>21</w:t>
            </w:r>
          </w:p>
        </w:tc>
        <w:tc>
          <w:tcPr>
            <w:tcW w:type="dxa" w:w="1814"/>
          </w:tcPr>
          <w:p>
            <w:r/>
            <w:r>
              <w:rPr>
                <w:sz w:val="18"/>
              </w:rPr>
              <w:t>Sesgos de publicación</w:t>
            </w:r>
          </w:p>
        </w:tc>
        <w:tc>
          <w:tcPr>
            <w:tcW w:type="dxa" w:w="2154"/>
          </w:tcPr>
          <w:p>
            <w:r/>
            <w:r>
              <w:rPr>
                <w:sz w:val="18"/>
              </w:rPr>
            </w:r>
          </w:p>
        </w:tc>
        <w:tc>
          <w:tcPr>
            <w:tcW w:type="dxa" w:w="1361"/>
          </w:tcPr>
          <w:p>
            <w:r/>
            <w:r>
              <w:rPr>
                <w:sz w:val="18"/>
              </w:rPr>
              <w:t>PARCIAL</w:t>
            </w:r>
          </w:p>
        </w:tc>
        <w:tc>
          <w:tcPr>
            <w:tcW w:type="dxa" w:w="3515"/>
          </w:tcPr>
          <w:p>
            <w:r/>
            <w:r>
              <w:rPr>
                <w:sz w:val="18"/>
              </w:rPr>
              <w:t>§4.3</w:t>
            </w:r>
          </w:p>
        </w:tc>
      </w:tr>
      <w:tr>
        <w:tc>
          <w:tcPr>
            <w:tcW w:type="dxa" w:w="794"/>
          </w:tcPr>
          <w:p>
            <w:r/>
            <w:r>
              <w:rPr>
                <w:sz w:val="18"/>
              </w:rPr>
              <w:t>22</w:t>
            </w:r>
          </w:p>
        </w:tc>
        <w:tc>
          <w:tcPr>
            <w:tcW w:type="dxa" w:w="1814"/>
          </w:tcPr>
          <w:p>
            <w:r/>
            <w:r>
              <w:rPr>
                <w:sz w:val="18"/>
              </w:rPr>
              <w:t>Certeza de la evidencia</w:t>
            </w:r>
          </w:p>
        </w:tc>
        <w:tc>
          <w:tcPr>
            <w:tcW w:type="dxa" w:w="2154"/>
          </w:tcPr>
          <w:p>
            <w:r/>
            <w:r>
              <w:rPr>
                <w:sz w:val="18"/>
              </w:rPr>
            </w:r>
          </w:p>
        </w:tc>
        <w:tc>
          <w:tcPr>
            <w:tcW w:type="dxa" w:w="1361"/>
          </w:tcPr>
          <w:p>
            <w:r/>
            <w:r>
              <w:rPr>
                <w:sz w:val="18"/>
              </w:rPr>
              <w:t>NO APLICA</w:t>
            </w:r>
          </w:p>
        </w:tc>
        <w:tc>
          <w:tcPr>
            <w:tcW w:type="dxa" w:w="3515"/>
          </w:tcPr>
          <w:p>
            <w:r/>
            <w:r>
              <w:rPr>
                <w:sz w:val="18"/>
              </w:rPr>
              <w:t>No hay estimación agrupada cuya certeza calificar; ver §2.7 y §3.5</w:t>
            </w:r>
          </w:p>
        </w:tc>
      </w:tr>
      <w:tr>
        <w:tc>
          <w:tcPr>
            <w:tcW w:type="dxa" w:w="794"/>
          </w:tcPr>
          <w:p>
            <w:r/>
            <w:r>
              <w:rPr>
                <w:sz w:val="18"/>
              </w:rPr>
              <w:t>23a-d</w:t>
            </w:r>
          </w:p>
        </w:tc>
        <w:tc>
          <w:tcPr>
            <w:tcW w:type="dxa" w:w="1814"/>
          </w:tcPr>
          <w:p>
            <w:r/>
            <w:r>
              <w:rPr>
                <w:sz w:val="18"/>
              </w:rPr>
              <w:t>Discusión</w:t>
            </w:r>
          </w:p>
        </w:tc>
        <w:tc>
          <w:tcPr>
            <w:tcW w:type="dxa" w:w="2154"/>
          </w:tcPr>
          <w:p>
            <w:r/>
            <w:r>
              <w:rPr>
                <w:sz w:val="18"/>
              </w:rPr>
              <w:t>Interpretación, limitaciones, implicaciones</w:t>
            </w:r>
          </w:p>
        </w:tc>
        <w:tc>
          <w:tcPr>
            <w:tcW w:type="dxa" w:w="1361"/>
          </w:tcPr>
          <w:p>
            <w:r/>
            <w:r>
              <w:rPr>
                <w:sz w:val="18"/>
              </w:rPr>
              <w:t>CUMPLE</w:t>
            </w:r>
          </w:p>
        </w:tc>
        <w:tc>
          <w:tcPr>
            <w:tcW w:type="dxa" w:w="3515"/>
          </w:tcPr>
          <w:p>
            <w:r/>
            <w:r>
              <w:rPr>
                <w:sz w:val="18"/>
              </w:rPr>
              <w:t>§4</w:t>
            </w:r>
          </w:p>
        </w:tc>
      </w:tr>
      <w:tr>
        <w:tc>
          <w:tcPr>
            <w:tcW w:type="dxa" w:w="794"/>
          </w:tcPr>
          <w:p>
            <w:r/>
            <w:r>
              <w:rPr>
                <w:sz w:val="18"/>
              </w:rPr>
              <w:t>24a</w:t>
            </w:r>
          </w:p>
        </w:tc>
        <w:tc>
          <w:tcPr>
            <w:tcW w:type="dxa" w:w="1814"/>
          </w:tcPr>
          <w:p>
            <w:r/>
            <w:r>
              <w:rPr>
                <w:sz w:val="18"/>
              </w:rPr>
              <w:t>Registro</w:t>
            </w:r>
          </w:p>
        </w:tc>
        <w:tc>
          <w:tcPr>
            <w:tcW w:type="dxa" w:w="2154"/>
          </w:tcPr>
          <w:p>
            <w:r/>
            <w:r>
              <w:rPr>
                <w:sz w:val="18"/>
              </w:rPr>
              <w:t>Número o declaración de no registro</w:t>
            </w:r>
          </w:p>
        </w:tc>
        <w:tc>
          <w:tcPr>
            <w:tcW w:type="dxa" w:w="1361"/>
          </w:tcPr>
          <w:p>
            <w:r/>
            <w:r>
              <w:rPr>
                <w:sz w:val="18"/>
              </w:rPr>
              <w:t>CUMPLE (declarado)</w:t>
            </w:r>
          </w:p>
        </w:tc>
        <w:tc>
          <w:tcPr>
            <w:tcW w:type="dxa" w:w="3515"/>
          </w:tcPr>
          <w:p>
            <w:r/>
            <w:r>
              <w:rPr>
                <w:sz w:val="18"/>
              </w:rPr>
              <w:t>§2.1 declara explícitamente que NO está registrada</w:t>
            </w:r>
          </w:p>
        </w:tc>
      </w:tr>
      <w:tr>
        <w:tc>
          <w:tcPr>
            <w:tcW w:type="dxa" w:w="794"/>
          </w:tcPr>
          <w:p>
            <w:r/>
            <w:r>
              <w:rPr>
                <w:sz w:val="18"/>
              </w:rPr>
              <w:t>24b</w:t>
            </w:r>
          </w:p>
        </w:tc>
        <w:tc>
          <w:tcPr>
            <w:tcW w:type="dxa" w:w="1814"/>
          </w:tcPr>
          <w:p>
            <w:r/>
            <w:r>
              <w:rPr>
                <w:sz w:val="18"/>
              </w:rPr>
              <w:t>Protocolo</w:t>
            </w:r>
          </w:p>
        </w:tc>
        <w:tc>
          <w:tcPr>
            <w:tcW w:type="dxa" w:w="2154"/>
          </w:tcPr>
          <w:p>
            <w:r/>
            <w:r>
              <w:rPr>
                <w:sz w:val="18"/>
              </w:rPr>
              <w:t>Dónde consultarlo</w:t>
            </w:r>
          </w:p>
        </w:tc>
        <w:tc>
          <w:tcPr>
            <w:tcW w:type="dxa" w:w="1361"/>
          </w:tcPr>
          <w:p>
            <w:r/>
            <w:r>
              <w:rPr>
                <w:sz w:val="18"/>
              </w:rPr>
              <w:t>PARCIAL</w:t>
            </w:r>
          </w:p>
        </w:tc>
        <w:tc>
          <w:tcPr>
            <w:tcW w:type="dxa" w:w="3515"/>
          </w:tcPr>
          <w:p>
            <w:r/>
            <w:r>
              <w:rPr>
                <w:sz w:val="18"/>
              </w:rPr>
              <w:t>Repositorio del proyecto; no depositado en registro público</w:t>
            </w:r>
          </w:p>
        </w:tc>
      </w:tr>
      <w:tr>
        <w:tc>
          <w:tcPr>
            <w:tcW w:type="dxa" w:w="794"/>
          </w:tcPr>
          <w:p>
            <w:r/>
            <w:r>
              <w:rPr>
                <w:sz w:val="18"/>
              </w:rPr>
              <w:t>24c</w:t>
            </w:r>
          </w:p>
        </w:tc>
        <w:tc>
          <w:tcPr>
            <w:tcW w:type="dxa" w:w="1814"/>
          </w:tcPr>
          <w:p>
            <w:r/>
            <w:r>
              <w:rPr>
                <w:sz w:val="18"/>
              </w:rPr>
              <w:t>Enmiendas</w:t>
            </w:r>
          </w:p>
        </w:tc>
        <w:tc>
          <w:tcPr>
            <w:tcW w:type="dxa" w:w="2154"/>
          </w:tcPr>
          <w:p>
            <w:r/>
            <w:r>
              <w:rPr>
                <w:sz w:val="18"/>
              </w:rPr>
            </w:r>
          </w:p>
        </w:tc>
        <w:tc>
          <w:tcPr>
            <w:tcW w:type="dxa" w:w="1361"/>
          </w:tcPr>
          <w:p>
            <w:r/>
            <w:r>
              <w:rPr>
                <w:sz w:val="18"/>
              </w:rPr>
              <w:t>CUMPLE (enmiendas declaradas)</w:t>
            </w:r>
          </w:p>
        </w:tc>
        <w:tc>
          <w:tcPr>
            <w:tcW w:type="dxa" w:w="3515"/>
          </w:tcPr>
          <w:p>
            <w:r/>
            <w:r>
              <w:rPr>
                <w:sz w:val="18"/>
              </w:rPr>
              <w:t>Todas posteriores al cribado y declaradas (§2.9 y §3.1.1): la restricción de idioma a inglés y español (11-08-2026), con su impacto medido: 35 estudios eliminados, 18 de ellos comparativos y 1 del conjunto de control positivo; NOREC, adoptado el 02-09-2026 para 1 estudio y aplicado el 06-10-2026 a 3 más, y ampliado ese mismo día a NOPDF, que excluye todo estudio sin el artículo completo (63 estudios); NOORG (14-09-2026, fichas de registro que no declaran el organismo; 7 estudios), y los códigos IDI, PRO e INT, añadidos después del vocabulario original. El registro de decisiones es solo-anexar y permite reconstruir el corpus previo</w:t>
            </w:r>
          </w:p>
        </w:tc>
      </w:tr>
      <w:tr>
        <w:tc>
          <w:tcPr>
            <w:tcW w:type="dxa" w:w="794"/>
          </w:tcPr>
          <w:p>
            <w:r/>
            <w:r>
              <w:rPr>
                <w:sz w:val="18"/>
              </w:rPr>
              <w:t>25</w:t>
            </w:r>
          </w:p>
        </w:tc>
        <w:tc>
          <w:tcPr>
            <w:tcW w:type="dxa" w:w="1814"/>
          </w:tcPr>
          <w:p>
            <w:r/>
            <w:r>
              <w:rPr>
                <w:sz w:val="18"/>
              </w:rPr>
              <w:t>Apoyo económico</w:t>
            </w:r>
          </w:p>
        </w:tc>
        <w:tc>
          <w:tcPr>
            <w:tcW w:type="dxa" w:w="2154"/>
          </w:tcPr>
          <w:p>
            <w:r/>
            <w:r>
              <w:rPr>
                <w:sz w:val="18"/>
              </w:rPr>
            </w:r>
          </w:p>
        </w:tc>
        <w:tc>
          <w:tcPr>
            <w:tcW w:type="dxa" w:w="1361"/>
          </w:tcPr>
          <w:p>
            <w:r/>
            <w:r>
              <w:rPr>
                <w:sz w:val="18"/>
              </w:rPr>
              <w:t>CUMPLE</w:t>
            </w:r>
          </w:p>
        </w:tc>
        <w:tc>
          <w:tcPr>
            <w:tcW w:type="dxa" w:w="3515"/>
          </w:tcPr>
          <w:p>
            <w:r/>
            <w:r>
              <w:rPr>
                <w:sz w:val="18"/>
              </w:rPr>
              <w:t>Declaraciones</w:t>
            </w:r>
          </w:p>
        </w:tc>
      </w:tr>
      <w:tr>
        <w:tc>
          <w:tcPr>
            <w:tcW w:type="dxa" w:w="794"/>
          </w:tcPr>
          <w:p>
            <w:r/>
            <w:r>
              <w:rPr>
                <w:sz w:val="18"/>
              </w:rPr>
              <w:t>26</w:t>
            </w:r>
          </w:p>
        </w:tc>
        <w:tc>
          <w:tcPr>
            <w:tcW w:type="dxa" w:w="1814"/>
          </w:tcPr>
          <w:p>
            <w:r/>
            <w:r>
              <w:rPr>
                <w:sz w:val="18"/>
              </w:rPr>
              <w:t>Conflictos de interés</w:t>
            </w:r>
          </w:p>
        </w:tc>
        <w:tc>
          <w:tcPr>
            <w:tcW w:type="dxa" w:w="2154"/>
          </w:tcPr>
          <w:p>
            <w:r/>
            <w:r>
              <w:rPr>
                <w:sz w:val="18"/>
              </w:rPr>
            </w:r>
          </w:p>
        </w:tc>
        <w:tc>
          <w:tcPr>
            <w:tcW w:type="dxa" w:w="1361"/>
          </w:tcPr>
          <w:p>
            <w:r/>
            <w:r>
              <w:rPr>
                <w:sz w:val="18"/>
              </w:rPr>
              <w:t>CUMPLE</w:t>
            </w:r>
          </w:p>
        </w:tc>
        <w:tc>
          <w:tcPr>
            <w:tcW w:type="dxa" w:w="3515"/>
          </w:tcPr>
          <w:p>
            <w:r/>
            <w:r>
              <w:rPr>
                <w:sz w:val="18"/>
              </w:rPr>
              <w:t>Declaraciones</w:t>
            </w:r>
          </w:p>
        </w:tc>
      </w:tr>
      <w:tr>
        <w:tc>
          <w:tcPr>
            <w:tcW w:type="dxa" w:w="794"/>
          </w:tcPr>
          <w:p>
            <w:r/>
            <w:r>
              <w:rPr>
                <w:sz w:val="18"/>
              </w:rPr>
              <w:t>27</w:t>
            </w:r>
          </w:p>
        </w:tc>
        <w:tc>
          <w:tcPr>
            <w:tcW w:type="dxa" w:w="1814"/>
          </w:tcPr>
          <w:p>
            <w:r/>
            <w:r>
              <w:rPr>
                <w:sz w:val="18"/>
              </w:rPr>
              <w:t>Disponibilidad de datos y código</w:t>
            </w:r>
          </w:p>
        </w:tc>
        <w:tc>
          <w:tcPr>
            <w:tcW w:type="dxa" w:w="2154"/>
          </w:tcPr>
          <w:p>
            <w:r/>
            <w:r>
              <w:rPr>
                <w:sz w:val="18"/>
              </w:rPr>
            </w:r>
          </w:p>
        </w:tc>
        <w:tc>
          <w:tcPr>
            <w:tcW w:type="dxa" w:w="1361"/>
          </w:tcPr>
          <w:p>
            <w:r/>
            <w:r>
              <w:rPr>
                <w:sz w:val="18"/>
              </w:rPr>
              <w:t>PARCIAL</w:t>
            </w:r>
          </w:p>
        </w:tc>
        <w:tc>
          <w:tcPr>
            <w:tcW w:type="dxa" w:w="3515"/>
          </w:tcPr>
          <w:p>
            <w:r/>
            <w:r>
              <w:rPr>
                <w:sz w:val="18"/>
              </w:rPr>
              <w:t>Declaraciones y S3–S6; la decisión sobre un depósito público con DOI está pendiente</w:t>
            </w:r>
          </w:p>
        </w:tc>
      </w:tr>
    </w:tbl>
    <w:p/>
    <w:p>
      <w:pPr>
        <w:pStyle w:val="Heading2"/>
      </w:pPr>
      <w:r>
        <w:t>Resumen del estado</w:t>
      </w:r>
    </w:p>
    <w:p>
      <w:pPr>
        <w:pStyle w:val="ListBullet"/>
      </w:pPr>
      <w:r>
        <w:t>CUMPLE: 20 ítems</w:t>
      </w:r>
    </w:p>
    <w:p>
      <w:pPr>
        <w:pStyle w:val="ListBullet"/>
      </w:pPr>
      <w:r>
        <w:t>PARCIAL: 8 ítems</w:t>
      </w:r>
    </w:p>
    <w:p>
      <w:pPr>
        <w:pStyle w:val="ListBullet"/>
      </w:pPr>
      <w:r>
        <w:t>NO APLICA: 3 ítems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