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S7. Declaraciones y requisitos del ICMJE</w:t>
      </w:r>
    </w:p>
    <w:p>
      <w:r>
        <w:rPr>
          <w:i/>
          <w:sz w:val="19"/>
        </w:rPr>
        <w:t>Documento de acompañamiento al envío.</w:t>
      </w:r>
    </w:p>
    <w:p>
      <w:pPr>
        <w:pStyle w:val="Heading2"/>
      </w:pPr>
      <w:r>
        <w:t>Financiación</w:t>
      </w:r>
    </w:p>
    <w:p>
      <w:r>
        <w:t>Esta revisión no recibió financiación específica de agencias públicas, comerciales o sin ánimo de lucro.</w:t>
      </w:r>
    </w:p>
    <w:p>
      <w:pPr>
        <w:pStyle w:val="Heading2"/>
      </w:pPr>
      <w:r>
        <w:t>Conflictos de interés</w:t>
      </w:r>
    </w:p>
    <w:p>
      <w:r>
        <w:t>Los autores declaran no tener conflictos de interés.</w:t>
      </w:r>
    </w:p>
    <w:p>
      <w:pPr>
        <w:pStyle w:val="Heading2"/>
      </w:pPr>
      <w:r>
        <w:t>Formulario ICMJE de conflictos de interés</w:t>
      </w:r>
    </w:p>
    <w:p>
      <w:r>
        <w:t>Cada autor debe adjuntar el formulario ICMJE Disclosure of Interest firmado.</w:t>
      </w:r>
    </w:p>
    <w:p>
      <w:pPr>
        <w:pStyle w:val="Heading2"/>
      </w:pPr>
      <w:r>
        <w:t>Contribución de los autores (CRediT)</w:t>
      </w:r>
    </w:p>
    <w:p>
      <w:r>
        <w:t>D. Valdiviezo: conceptualización, metodología, investigación (según declara D.V., ejecución de las búsquedas en cada interfaz con la guía del modelo de lenguaje, que redactó las ecuaciones; extracción de datos; riesgo de sesgo), dirección del software, la curación de datos, el análisis y la visualización, que programó y ejecutó el modelo de lenguaje, revisión de los borradores, que redactó el modelo, y administración del proyecto. N. Trelles: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pPr>
        <w:pStyle w:val="Heading2"/>
      </w:pPr>
      <w:r>
        <w:t>Registro del protocolo</w:t>
      </w:r>
    </w:p>
    <w:p>
      <w:r>
        <w:t>La revisión no se registró en PROSPERO ni en ningún otro registro prospectivo, y no se depositó un protocolo previo (§2.1 del informe extendido; en el manuscrito de la revista, METODOLOGÍA › Protocolo y reporte). El protocolo de la fase definitiva de la revisión se depositará en OSF; no cubre este informe, que es anterior a él.</w:t>
      </w:r>
    </w:p>
    <w:p>
      <w:pPr>
        <w:pStyle w:val="Heading2"/>
      </w:pPr>
      <w:r>
        <w:t>Disponibilidad de datos y código</w:t>
      </w:r>
    </w:p>
    <w:p>
      <w:r>
        <w:rPr>
          <w:i/>
          <w:color w:val="444444"/>
          <w:sz w:val="17"/>
        </w:rPr>
        <w:t>Es la declaración del informe extendido. La del manuscrito de la revista dice: «El registro de decisiones del cribado vigente, las ecuaciones de búsqueda literales, la pre-extracción, la extracción adjudicada, los formularios de extracción y de riesgo de sesgo, y el listado de estudios excluidos con su motivo y, cuando la hay, la cita del texto en que se apoya, se aportan como material suplementario. El código que produce cada cifra del manuscrito a partir de esos ficheros —búsqueda, cribado, deduplicación, escalares, tablas y figuras— se conserva en un repositorio versionado del proyecto y se facilita a petición al autor de correspondencia. [DATO FALTANTE: decisión sobre el depósito público de datos y código en un repositorio con DOI.]»</w:t>
      </w:r>
    </w:p>
    <w:p>
      <w:r>
        <w:t>Todo el material que sostiene esta revisión se conserva en un repositorio versionado del proyecto: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‹‹DEPÓSITO PÚBLICO Y DOI — PENDIENTES DE DECISIÓN DE LOS AUTORES››. Los registros de decisión son solo-anexar y conservan cada corrección junto a la fila que sustituyen.</w:t>
      </w:r>
    </w:p>
    <w:p>
      <w:pPr>
        <w:pStyle w:val="Heading2"/>
      </w:pPr>
      <w:r>
        <w:t>Uso de inteligencia artificial</w:t>
      </w:r>
    </w:p>
    <w:p>
      <w:r>
        <w:rPr>
          <w:i/>
          <w:color w:val="444444"/>
          <w:sz w:val="17"/>
        </w:rPr>
        <w:t>Las secciones citadas son las del informe extendido; en el manuscrito de la revista, METODOLOGÍA › Extracción de datos y Evaluación del riesgo de sesgo.</w:t>
      </w:r>
    </w:p>
    <w:p>
      <w:r>
        <w:t>Un modelo de lenguaje generativo (Claude Opus 5, Anthropic) intervino en todas las fases de esta revisión. Criterios. Redactó las propuestas de criterios que se adoptaron: la unidad de inclusión por estudio y la elegibilidad de los resúmenes de congreso (5 de agosto de 2026), que decidió D.V.; los códigos PRO e INT (1 de septiembre de 2026), por orden de D.V.; el código NOORG (14 de septiembre de 2026), que firmaron los dos autores; y las reglas de desenlace, que según declara D.V. decidieron los dos autores, aunque el registro del 12 de agosto de 2026 las dejó como propuesta sin ratificar. El criterio de idioma, que se adoptó a petición del equipo, y los de texto completo (NOREC y NOPDF), que pidió D.V., no los propuso el modelo. El 4 de agosto añadió además a mitad de lote, en sus guiones de cribado, dos reglas que concretan los criterios, sin que conste una decisión de los autores. Cribado.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Búsqueda. Redactó las ecuaciones de cada plataforma y sus reglas de diseño (3 de agosto de 2026), que según declara D.V. ejecutó D.V. en cada interfaz con la guía del modelo; redactó los mensajes de los commits del 3 de agosto de 2026, que narran esa ejecución en primera persona, y descargó por API los registros de PubMed y ClinicalTrials.gov. Selección y extracción. Localizó y descargó textos completos, también con un navegador; propuso la agrupación de los informes en estudios; leyó los textos completos y las fichas de registro y propuso, con su cita, las exclusiones que se apoyan en ellos; de las 118 exclusiones a texto completo, 89 las firmaron los dos autores, 2 las firmó D.V. solo y 27 se registraron por orden de D.V. del 1 y el 2 de septiembre de 2026 sin que conste la firma de N.T.;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tradujo a categorías las conclusiones firmadas de la relectura y aplicó las que dejaban un valor único; marcó con un detector que escribió 15 de los 30 pares de estudios que podían compartir pacientes y encontró otros 8 en su lectura del 22 de septiembre de 2026, antes de la relectura de los autores, que encontró los 7 restantes, y descartó 2 de ellos sin que los autores firmaran ese descarte; y redactó, en primera persona de D.V., las instrucciones y los mensajes dirigidos a N.T., entre ellos el que pidió su firma para las correcciones de modalidad, que presentaba como lectura de D.V. la que había hecho el modelo. Riesgo de sesgo. Puso en cada casilla de los formularios, como comentario, las frases del artículo que localizó de forma automática para cada dominio, y generó el cuaderno de consenso con los juicios coincidentes precargados. Canal y redacción. Escribió y ejecutó todo el código del canal, del que sale cada cifra, tabla y figura, y redactó los borradores del manuscrito, de los anexos, de la carta de presentación y de los registros de decisión. Salvo lo anterior, la extracción de datos y los juicios de riesgo de sesgo los emitieron los autores, aunque sin independencia acreditada entre sus dos lecturas (secciones 2.6 y 2.7). Cada decisión del cribado vigente está registrada con su motivo y su marca de tiempo, y se aporta íntegra (S3, S4), salvo que 77 decisiones de resumen heredadas por PMID de la primera pasada del 4 de agosto sobre el brazo A de PubMed llevan en S3 la fecha de su copia al pozo y no la de la decisión; esa primera pasada, que el cribado del pozo sustituyó, consta en el repositorio y no en S3. D.V. asume la responsabilidad por la exactitud e integridad del trabajo; la de N.T. queda pendiente de su aprobación escrita. Ninguna herramienta de IA figura como autora, conforme a las recomendaciones del ICMJE.</w:t>
      </w:r>
    </w:p>
    <w:p>
      <w:pPr>
        <w:pStyle w:val="Heading2"/>
      </w:pPr>
      <w:r>
        <w:t>Ética y consentimiento</w:t>
      </w:r>
    </w:p>
    <w:p>
      <w:r>
        <w:rPr>
          <w:i/>
          <w:color w:val="444444"/>
          <w:sz w:val="17"/>
        </w:rPr>
        <w:t>Es la declaración del informe extendido. La del manuscrito de la revista dice: «No procede. Esta revisión sintetiza literatura publicada y datos agregados de registros públicos de ensayos; no involucra pacientes, muestras ni datos individuales identificables.»</w:t>
      </w:r>
    </w:p>
    <w:p>
      <w:r>
        <w:t>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