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clinical literature and its reporting completeness</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308; main text 9 945.</w:t>
      </w:r>
    </w:p>
    <w:p>
      <w:r>
        <w:rPr>
          <w:b/>
        </w:rPr>
        <w:t>Tables:</w:t>
      </w:r>
      <w:r>
        <w:t xml:space="preserve"> 7. </w:t>
      </w:r>
      <w:r>
        <w:rPr>
          <w:b/>
        </w:rPr>
        <w:t>Figures:</w:t>
      </w:r>
      <w:r>
        <w:t xml:space="preserve"> 2. </w:t>
      </w:r>
      <w:r>
        <w:rPr>
          <w:b/>
        </w:rPr>
        <w:t>Supplementary files:</w:t>
      </w:r>
      <w:r>
        <w:t xml:space="preserve"> S0–S24 and S18b,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with its full article: a criterion added after extraction. Extraction was manual, in duplicate but without established independence, and adjudicated; the structure comes from the model's pre-extraction from abstracts and the outcomes from the adjudicated extraction.</w:t>
      </w:r>
    </w:p>
    <w:p>
      <w:r>
        <w:rPr>
          <w:b/>
        </w:rPr>
        <w:t>Results.</w:t>
      </w:r>
      <w:r>
        <w:t xml:space="preserve"> From 23 057 records, 17 129 unique reports remained; 233 reports formed 183 studies and </w:t>
      </w:r>
      <w:r>
        <w:rPr>
          <w:b/>
        </w:rPr>
        <w:t>118 left the corpus</w:t>
      </w:r>
      <w:r>
        <w:t xml:space="preserve">: 63 for lacking the full article —42 existed only as a registry entry— and 55 on the criteria (in 11 they could not be verified) —protocols, preclinical models, and articles where </w:t>
      </w:r>
      <w:r>
        <w:rPr>
          <w:i/>
        </w:rPr>
        <w:t>P. aeruginosa</w:t>
      </w:r>
      <w:r>
        <w:t xml:space="preserve"> appears only in the product's declared spectrum—. </w:t>
      </w:r>
      <w:r>
        <w:rPr>
          <w:b/>
        </w:rPr>
        <w:t>65</w:t>
      </w:r>
      <w:r>
        <w:t xml:space="preserve"> remain, all read in full text; requiring it left out 7 of the 9 studies with a comparative design. Single case reports, 52.3 %; comparative, 3.1 %; resistance class unassignable, 70.8 %; the language criterion removed 35 studies more. In 43 of the 73 arms (58.9 %) no operational definition of clinical success is on record, and only 2 combine comparative design, numerator, denominator and a definition. One does not separate </w:t>
      </w:r>
      <w:r>
        <w:rPr>
          <w:i/>
        </w:rPr>
        <w:t>P. aeruginosa</w:t>
      </w:r>
      <w:r>
        <w:t xml:space="preserve"> and the other measures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the retrievability and the reporting completeness — that is,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check on the body was repeated on 6 October 2026 on the 65 studies of the current corpus with full text, and all 65 are in English. The 3 studies without full text whose language could only be proven on an English abstract, in journals that do not publish natively in English, were excluded (section 3.1.1).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 A study is included only if the PDF of its full article is available: the criterion was added on 6 October 2026, with screening and extraction finished, and section 2.9 dates it and measures its effect.</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documented search runs date from 3 and 4 August 2026, and the BVS export entered the corpus on 10 August; the Scopus run whose export entered the corpus has no recorded date, and the exported file of its arm B finished writing on 5 August.</w:t>
      </w:r>
    </w:p>
    <w:p>
      <w:r>
        <w:t>The equations for each platform and their design rules were drafted by the language model whose involvement is declared in section 2.4 (3 August 2026). According to D.V.'s statement (8 October 2026), D.V. ran them in each interface with the model's guidance; the messages of the commits of 3 August 2026, which the model drafted, narrate that execution in the first person. The PubMed and ClinicalTrials.gov records that entered the corpus were downloaded via API with scripts written by the model, and the ClinicalTrials.gov counts were reconciled with those of the interface. The equations are supplied in full as supplementary material, with the literal syntax of each interface and the number of results, so that anyone can repeat them. BVS and SciELO were included so as not to tilt the review towards the anglophone literature, and contributed 2 of the 233 reports that reached full text: they cover Ibero-America, and of the 24 studies that state their origin, 9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ended up using a </w:t>
      </w:r>
      <w:r>
        <w:rPr>
          <w:b/>
        </w:rPr>
        <w:t>closed vocabulary of six exclusion codes</w:t>
      </w:r>
      <w:r>
        <w:t xml:space="preserve"> (ORG, REV, SEC, LAB, VET, OFF), but </w:t>
      </w:r>
      <w:r>
        <w:rPr>
          <w:b/>
        </w:rPr>
        <w:t>it was not fixed before screening began</w:t>
      </w:r>
      <w:r>
        <w:t>: the decisions of the first day of title screening, 4 August 2026, carry a free-text reason, and the six codes, whose wording comes from those texts, were used from the following day; that first day's exclusions were later assigned a code. On that same day the model added, mid-batch, two rules making the criteria concrete, with no record of a decision by the authors: isolated endolysins are out on the intervention, and veterinary reports on the population. A reason that fits none of the six does not receive an improvised code: the record advances to the next stage instead of being excluded.</w:t>
      </w:r>
    </w:p>
    <w:p>
      <w:r>
        <w:t xml:space="preserve">Stage 1 is deterministic: a script runs it and every exclusion names the rule that fired. The record-by-record decisions of stages 2 and 3 were issued by a large language model (Claude Opus 5, Anthropic) as </w:t>
      </w:r>
      <w:r>
        <w:rPr>
          <w:b/>
        </w:rPr>
        <w:t>sole reviewer, without duplication</w:t>
      </w:r>
      <w:r>
        <w:t>: 13 917 title decisions and 460 abstract decisions. D.V. was the only human reviewer. According to D.V.'s statement (8 October 2026), D.V. examined one by one the reports that survived screening, but that examination was not recorded. The grouping of those reports into studies was proposed by a script written by the model and is supplied in full (S5). The records the model excluded were not re-read by any human, except the sample of section 2.5. Every decision of the current screening was logged with its reason and timestamp in an append-only record supplied in full (S3), except 77 abstract decisions that the pool inherited by PMID from the first pass of 4 August over PubMed arm A: in S3 they carry the date they were copied to the pool (5 August 2026), not the date of the decision. That first pass, which the pool screening replaced, is kept in the repository and not in S3 (S19).</w:t>
      </w:r>
    </w:p>
    <w:p>
      <w:r>
        <w:t>Agreement between the model and a human reader was not measured over what the model admitted; over 350 excluded records, the re-screening reader (section 2.5) agreed with the model on 344 in the first pass and on all 350 after checking the criteria. Against the risk of false negatives the review sets the positive-control audit of section 2.5: after every screening stage it was verified that none of the 40 control studies checkable by PMID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comes from the workbooks returned by the two reviewers, which the pipeline generated blank. The model intervened around it: it wrote those workbooks, merged into one the two passes returned by the second reviewer, compared the two extractions, drafted the outcome rules —which, according to D.V., both authors decided, although the record of 12 August 2026 left them as an unratified proposal— and translated into categories the corrections the authors signed after re-reading the articles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 it is in the record of that first pass, in the repository, and not in S3.</w:t>
      </w:r>
    </w:p>
    <w:p>
      <w:pPr>
        <w:pStyle w:val="Heading2"/>
      </w:pPr>
      <w:r>
        <w:t>2.5 Positive-control audit and screening validation</w:t>
      </w:r>
    </w:p>
    <w:p>
      <w:r>
        <w:t xml:space="preserve">Before screening began, a set of 42 studies known a priori to be eligible was fixed, drawn from the exploratory meta-analysis of July 2026, which was carried out with the assistance of language models; the automated check reached the 40 that had a PMID. The search equations were designed to retrieve that set, so the audit bounds what selection loses, not the sensitivity of the search. After each stage it was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screening stages (40 of 40 checkable) until the language amendment, which excluded Ronit 2024 at the abstract stage (section 2.9). It does not follow the controls after screening: of the 42, 35 remain in the final corpus; besides Ronit 2024, Leitner 2021 left because its full text could not be read, and five for lacking the full article.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by a single reviewer (D.V.), blind to the original verdict and, on the first pass, without the criteria in view. The 6 records D.V. marked as includable proved, when D.V. checked them against the criteria of section 2.2, to be laboratory work, modelling work or review without primary data, and D.V. reclassified them.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had 21 data variables, the categorical ones with a controlled vocabulary; no documented pilot is on record. Extraction was carried out </w:t>
      </w:r>
      <w:r>
        <w:rPr>
          <w:b/>
        </w:rPr>
        <w:t>in duplicate</w:t>
      </w:r>
      <w:r>
        <w:t xml:space="preserve"> between the two reviewers, but its independence is not established: in the free-text column that locates each datum, the notebook the second reviewer returned on 26 August 2026 matches the first reviewer's character for character in 107 of the 107 comparable rows, with the same typos («MATERILAES Y METODOS», 49 times), whereas on 23 August it matched in none. One reviewer extracted the 124 studies that then had a retrievable publication —65 after the exclusions in section 3.1.1— and the second extracted 122 of them, so 98 % of what was extracted is double-extracted; of the 65 studies in the current corpus, 65 are. Over the 130 comparable arm rows, 541 value disagreements were recorded; agreement, measured before resolving them, was 78 % median agreement and a median Cohen's kappa of 0.62 over the 8 of 9 categorical fields where it is informative, ranging from 64 % to 100 % across variables. For the reason above, that agreement does not correspond to two independent readings and should be read as an upper bound. 539 of 541 disagreements are adjudicated. The adjudication record names a single person in 525 of the 541 rows (293 D.V. and 232 N.T.) and both reviewers in 14: those that had remained open —10 on study design, where the form offered no option the reviewers needed, and 4 for data requiring the article to be re-read—, signed by both on 14 September 2026. The remaining 2 had been closed earlier by a mechanical rule applied to a comparison that was subsequently redone, so they carry no joint signature. The complete record, resolution by resolution, is supplied as supplementary material.</w:t>
      </w:r>
    </w:p>
    <w:p>
      <w:r>
        <w:rPr>
          <w:b/>
        </w:rPr>
        <w:t>Targeted re-reading after adjudication.</w:t>
      </w:r>
      <w:r>
        <w:t xml:space="preserve"> Three questions could not be answered with the form and were answered by going back to the article, with one workbook per question in which each conclusion carries the sentence or table it rests on and the signature of both authors, dated 30 September 2026: the resistance class of the 70 studies that then had full text, checked against the published antibiogram (section 3.4, annex S23); the comparator, time zero, assessment time, co-interventions, losses and estimand of the 14 studies with a comparative design, 11 of them with text (section 3.7, annex S24), and the pairs of studies that could describe the same patients (section 4.4, annex S21). The re-reading was done by the two authors, each of whom read the full articles and checked against the figure the antibiograms the article gives only as an image; in addition, every quoted sentence was searched automatically in the text of its PDF. The corrections the re-reading leaves unambiguous enter the extraction with the value the model derived from the signed conclusion, the previous value and the quotation; those that left an arm with more than one value, and the exclusions the re-reading brought to light, were decided and signed by the two authors on 1 and 3 October 2026.</w:t>
      </w:r>
    </w:p>
    <w:p>
      <w:r>
        <w:t>The structural characterisation of the corpus (sections 3.1 to 3.4, Tables 1 to 4) derives from a systematic pre-extraction from the abstracts of the 95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its retrievability and its reporting completeness, with three components measured — retrievability of the report (sections 3.1 and 3.2), structural reporting completeness (section 3.4) and outcome reporting completeness (section 3.5).</w:t>
      </w:r>
    </w:p>
    <w:p>
      <w:pPr>
        <w:pStyle w:val="Heading2"/>
      </w:pPr>
      <w:r>
        <w:t>2.7 Risk of bias and certainty</w:t>
      </w:r>
    </w:p>
    <w:p>
      <w:r>
        <w:t xml:space="preserve">Risk of bias is assessed </w:t>
      </w:r>
      <w:r>
        <w:rPr>
          <w:b/>
        </w:rPr>
        <w:t>only in studies with a comparative design</w:t>
      </w:r>
      <w:r>
        <w:t>: the 9 that the design adjudicated on the article identifies as comparative, all with full text, as is the whole corpus since the criterion of section 2.9. Randomised trials with RoB 2 [@Sterne2019_rob2], and non-randomised trials and cohorts with ROBINS-I [@Sterne2016_robinsi].</w:t>
      </w:r>
    </w:p>
    <w:p>
      <w:r>
        <w:t xml:space="preserve">The assessment is issued </w:t>
      </w:r>
      <w:r>
        <w:rPr>
          <w:b/>
        </w:rPr>
        <w:t>at domain level</w:t>
      </w:r>
      <w:r>
        <w:t>: one judgement per domain with each instrument's literal categories, without answering the signalling questions through which RoB 2 derives that judgement algorithmically. This is a deliberate simplification in a descriptive review with no pooled estimate, and it is declared so that no algorithmic reproducibility is attributed to it. Case reports and case series are not assessed with a formal instrument, by decision and not by impossibility: they have no comparator, no allocation and no structured follow-up, and a tool built on those assumptions yields a uniform high risk that reports on the instrument rather than on the study [@Murad2018_casereports; @Munn2020_jbicaseseries].</w:t>
      </w:r>
    </w:p>
    <w:p>
      <w:r>
        <w:rPr>
          <w:b/>
        </w:rPr>
        <w:t>There were two notebooks, one in each author's name, but their independence is not established.</w:t>
      </w:r>
      <w:r>
        <w:t xml:space="preserve"> On the night of 4 to 5 September 2026 both carried every judgement identical and, re-saved two seconds apart, they still shared 7 418 identical characters in their supporting notes; that day's record concludes that one notebook came from the other. The assessment was then declared as by consensus: the pipeline generated a notebook with the matching judgements preloaded and the discrepant ones blank, and both authors signed it on 9 September 2026. Agreement between the two notebooks is reported in section 3.7, but it does not measure two independent assessments. One study, added to the assessment after the others, has a single reading and is declared as such.</w:t>
      </w:r>
    </w:p>
    <w:p>
      <w:r>
        <w:rPr>
          <w:b/>
        </w:rPr>
        <w:t>GRADE is not applied</w:t>
      </w:r>
      <w:r>
        <w:t>, and the reason does not depend on the above: it rates the certainty of a pooled estimate and this review presents none. Section 3.6 shows that only 2 of the 73 arms meet the minimum requirements for pooling, and none survives the eligibility criteria. Rating the certainty of a result that does not exist would be a formality, not an assessment [@Guyatt2011_grade].</w:t>
      </w:r>
    </w:p>
    <w:p>
      <w:r>
        <w:t>Section 3.7 reports the 68 judgements and the domain table.</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Amendments to the protocol</w:t>
      </w:r>
    </w:p>
    <w:p>
      <w:r>
        <w:t>On 11 August 2026, with screening complete and 218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218 to 183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42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r>
        <w:rPr>
          <w:b/>
        </w:rPr>
        <w:t>Second amendment: only studies with the full article are included.</w:t>
      </w:r>
      <w:r>
        <w:t xml:space="preserve"> It was adopted on 2 September 2026 for one study and extended to all on 6 October 2026, both times with screening closed and the second time with extraction finished as well. It is of a different kind from the first, and that should not be glossed over: every other exclusion reason refers to what the </w:t>
      </w:r>
      <w:r>
        <w:rPr>
          <w:b/>
        </w:rPr>
        <w:t>article says</w:t>
      </w:r>
      <w:r>
        <w:t xml:space="preserve"> — no patients, no results, the pathogen is on the product label — whereas this one refers to what </w:t>
      </w:r>
      <w:r>
        <w:rPr>
          <w:b/>
        </w:rPr>
        <w:t>this review was able to read</w:t>
      </w:r>
      <w:r>
        <w:t>, which is a property of the process, not of the study.</w:t>
      </w:r>
    </w:p>
    <w:p>
      <w:r>
        <w:t xml:space="preserve">Its measured effect: it excludes </w:t>
      </w:r>
      <w:r>
        <w:rPr>
          <w:b/>
        </w:rPr>
        <w:t>4 studies</w:t>
      </w:r>
      <w:r>
        <w:t xml:space="preserve"> under the code NOREC and </w:t>
      </w:r>
      <w:r>
        <w:rPr>
          <w:b/>
        </w:rPr>
        <w:t>63</w:t>
      </w:r>
      <w:r>
        <w:t xml:space="preserve"> under the code NOPDF. On 2 September a randomised trial left, of which only a repository copy exists, in a pre-peer-review version and behind an automated-access barrier. On 6 October the two authors excluded under the same code 3 studies whose language, a criterion of section 2.2, could only be checked on an English abstract from journals that do not publish natively in English: EST-045 and EST-059, from a Russian journal, and EST-173, from a Greek one. The same day they signed the extension of the criterion to </w:t>
      </w:r>
      <w:r>
        <w:rPr>
          <w:b/>
        </w:rPr>
        <w:t>every study without the PDF of the full article with access</w:t>
      </w:r>
      <w:r>
        <w:t xml:space="preserve"> (code NOPDF): 21 studies whose article was not obtained — 3 of them exist only as conference abstracts — and 42 that exist only as a trial registry entry. The corpus went from 128 to 65 studies.</w:t>
      </w:r>
    </w:p>
    <w:p>
      <w:r>
        <w:t xml:space="preserve">Until that date this same section advised against generalising NOREC, and the reason still stands: with the extended criterion, full-text retrieval in the corpus is 100 % </w:t>
      </w:r>
      <w:r>
        <w:rPr>
          <w:b/>
        </w:rPr>
        <w:t>by construction</w:t>
      </w:r>
      <w:r>
        <w:t xml:space="preserve">, and the retrieval bias that section 3.2 measured within the corpus can no longer be measured there. It is therefore measured as an </w:t>
      </w:r>
      <w:r>
        <w:rPr>
          <w:b/>
        </w:rPr>
        <w:t>effect of the criterion</w:t>
      </w:r>
      <w:r>
        <w:t xml:space="preserve"> (Table 3). Counting both dates, the criterion leaves out 67 studies, and they are not a random sample: it takes </w:t>
      </w:r>
      <w:r>
        <w:rPr>
          <w:b/>
        </w:rPr>
        <w:t>7 of the 9 comparative designs (77.8 %)</w:t>
      </w:r>
      <w:r>
        <w:t xml:space="preserve"> and 5 of the 7 randomised trials. The authors adopted it knowing that effect, and it is declared here, with its date, rather than presented as if it had applied from the start.</w:t>
      </w:r>
    </w:p>
    <w:p>
      <w:r>
        <w:rPr>
          <w:b/>
        </w:rPr>
        <w:t>A third, minor amendment: NOORG.</w:t>
      </w:r>
      <w:r>
        <w:t xml:space="preserve"> On 14 September 2026 both authors signed a new code for registry entries that declare no organism at all, so the population criterion can be verified neither for nor against; it excluded 7 studies (section 3.1.1). Like NOREC, it refers to what can be verified, not to what the study says. Codes PRO and INT, added on 1 September 2026, do not change the criteria —section 2.2 already required patients treated with bacteriophages— and only name reasons the original vocabulary lacked.</w:t>
      </w:r>
    </w:p>
    <w:p>
      <w:pPr>
        <w:pStyle w:val="Heading1"/>
      </w:pPr>
      <w:r>
        <w:t>3. Results</w:t>
      </w:r>
    </w:p>
    <w:p>
      <w:pPr>
        <w:pStyle w:val="Heading2"/>
      </w:pPr>
      <w:r>
        <w:t>3.1 Study selection</w:t>
      </w:r>
    </w:p>
    <w:p>
      <w:r>
        <w:t xml:space="preserve">The eight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183 studies assessed for eligibility</w:t>
      </w:r>
      <w:r>
        <w:t xml:space="preserve">. Of these, </w:t>
      </w:r>
      <w:r>
        <w:rPr>
          <w:b/>
        </w:rPr>
        <w:t>118 left the corpus</w:t>
      </w:r>
      <w:r>
        <w:t xml:space="preserve">: 63 for lacking the PDF of the full article (section 2.9) and 55 on the eligibility criteria: 44 for failing them — checked against the article or against the registry record, except one editorial, judged by its indexing — and 11 because they could not be verified; the next subsection details them. The evidence base stands at </w:t>
      </w:r>
      <w:r>
        <w:rPr>
          <w:b/>
        </w:rPr>
        <w:t>65 studies</w:t>
      </w:r>
      <w:r>
        <w:t>, grouping 80 reports: 60 with a single report and 5 with several, up to a maximum of eleven reports of one trial. The 134 trial-registry reports are not a separate stream from that figure: they are among the 23 057 identified (121 from ClinicalTrials.gov, 10 from CTIS and 3 from EudraCT), and the diagram separates them at identification, because PRISMA 2020 requires both streams to be declared, and joins them to the main flow after bibliographic deduplication, which they do not pass through.</w:t>
      </w:r>
    </w:p>
    <w:p>
      <w:pPr>
        <w:pStyle w:val="Heading2"/>
      </w:pPr>
      <w:r>
        <w:t>3.1.1 The 118 studies the screening admitted and that later left</w:t>
      </w:r>
    </w:p>
    <w:p>
      <w:r>
        <w:rPr>
          <w:b/>
        </w:rPr>
        <w:t>Sixty-three left for lacking the full article</w:t>
      </w:r>
      <w:r>
        <w:t xml:space="preserve"> (code NOPDF, section 2.9): 21 studies whose article was not obtained — 3 of them exist only as conference abstracts — and 42 that exist only as a trial registry entry, with no locatable associated publication. It is not claimed that they fail the criteria of section 2.2: they were never checked against the article, because this review could not read it. The other 55 left on the criteria: 44 for failing them and 11 because they could not be verified (NOREC and NOORG).</w:t>
      </w:r>
    </w:p>
    <w:p>
      <w:r>
        <w:rPr>
          <w:b/>
        </w:rPr>
        <w:t>Thirty-eight left on their publication or because it could not be read.</w:t>
      </w:r>
      <w:r>
        <w:t xml:space="preserve"> They were excluded for eight reasons, and none is a difference of judgement: in seven, the study fails what section 2.2 already required; the NOREC ones left because it could not be verified. </w:t>
      </w:r>
      <w:r>
        <w:rPr>
          <w:b/>
        </w:rPr>
        <w:t>Thirty</w:t>
      </w:r>
      <w:r>
        <w:t xml:space="preserve"> came from judging the article, read in every case except one editorial, judged by its indexing. </w:t>
      </w:r>
      <w:r>
        <w:rPr>
          <w:b/>
        </w:rPr>
        <w:t>Sixteen</w:t>
      </w:r>
      <w:r>
        <w:t xml:space="preserve"> have </w:t>
      </w:r>
      <w:r>
        <w:rPr>
          <w:i/>
        </w:rPr>
        <w:t>P. aeruginosa</w:t>
      </w:r>
      <w:r>
        <w:t xml:space="preserve"> in no patient — it appears in the declared spectrum of the phage product, in the introduction, in the discussion or in the reference list; one of them names no organism at all. Five of them were detected when the resistance class was checked against the article (section 3.4), and the two authors excluded them on 1 and 3 October 2026. </w:t>
      </w:r>
      <w:r>
        <w:rPr>
          <w:b/>
        </w:rPr>
        <w:t>Five</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Two</w:t>
      </w:r>
      <w:r>
        <w:t xml:space="preserve"> supply no primary data of their own: an opinion piece with a narrative review, and a two-page editorial by a single author, which the repository indexing it classifies literally as "Editorial" and "not citable"; its exclusion was signed by D.V. alone.</w:t>
      </w:r>
    </w:p>
    <w:p>
      <w:r>
        <w:rPr>
          <w:b/>
        </w:rPr>
        <w:t>Four more</w:t>
      </w:r>
      <w:r>
        <w:t xml:space="preserve"> were excluded on </w:t>
      </w:r>
      <w:r>
        <w:rPr>
          <w:b/>
        </w:rPr>
        <w:t>language</w:t>
      </w:r>
      <w:r>
        <w:t xml:space="preserve">, and were detected differently. All four appeared in the same Russian journal, and the criterion in section 2.2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as almost all of those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applied to </w:t>
      </w:r>
      <w:r>
        <w:rPr>
          <w:b/>
        </w:rPr>
        <w:t>29 of the 95 studies then extractable</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rPr>
          <w:b/>
        </w:rPr>
        <w:t>Four</w:t>
      </w:r>
      <w:r>
        <w:t xml:space="preserve"> left, finally, under </w:t>
      </w:r>
      <w:r>
        <w:rPr>
          <w:b/>
        </w:rPr>
        <w:t>NOREC</w:t>
      </w:r>
      <w:r>
        <w:t xml:space="preserve"> (section 2.9): the full text could not be read and, without it, a criterion could not be verified against the article. One is the randomised trial described in section 2.9, whose exclusion was signed by D.V. alone. The other three — EST-045, EST-059 and EST-173 — are a consequence of that same defect: they only have an English abstract, two in a Russian journal and one in a Greek one that do not publish natively in English, and without the article their language cannot be checked. The two authors excluded them on 6 October 2026.</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28 are the other side of that limitation — counting those with a stored copy of the text; one article read on the publisher's site and one editorial judged by its indexing have none —, and they are </w:t>
      </w:r>
      <w:r>
        <w:rPr>
          <w:b/>
        </w:rPr>
        <w:t>30.1 %</w:t>
      </w:r>
      <w:r>
        <w:t xml:space="preserve"> of the 93 studies whose full text could be read. It is a floor, not a total: the 63 that left for lacking the article were never checked against it.</w:t>
      </w:r>
    </w:p>
    <w:p>
      <w:r>
        <w:rPr>
          <w:b/>
        </w:rPr>
        <w:t>Another 17 studies left by a different route: their registry record.</w:t>
      </w:r>
      <w:r>
        <w:t xml:space="preserve"> The earlier 38 have a publication; these have none. They entered the corpus because their exported record carried </w:t>
      </w:r>
      <w:r>
        <w:rPr>
          <w:b/>
        </w:rPr>
        <w:t>the title only</w:t>
      </w:r>
      <w:r>
        <w:t xml:space="preserve">, with no abstract and no MeSH terms, so the screening had nothing with which to rule them out. </w:t>
      </w:r>
      <w:r>
        <w:rPr>
          <w:b/>
        </w:rPr>
        <w:t>29 records</w:t>
      </w:r>
      <w:r>
        <w:t xml:space="preserve"> were counted in that situation; the model downloaded the full record of each from ClinicalTrials.gov and from the European CTIS registry, read them one by one and proposed, with its quotation, a verdict for each, which both authors signed. </w:t>
      </w:r>
      <w:r>
        <w:rPr>
          <w:b/>
        </w:rPr>
        <w:t>12</w:t>
      </w:r>
      <w:r>
        <w:t xml:space="preserve"> name </w:t>
      </w:r>
      <w:r>
        <w:rPr>
          <w:i/>
        </w:rPr>
        <w:t>P. aeruginosa</w:t>
      </w:r>
      <w:r>
        <w:t xml:space="preserve"> among the organisms of the population they will treat and passed the population criterion; as none has a published article, they left later under the full-text criterion (section 2.9). </w:t>
      </w:r>
      <w:r>
        <w:rPr>
          <w:b/>
        </w:rPr>
        <w:t>8</w:t>
      </w:r>
      <w:r>
        <w:t xml:space="preserve"> state a different organism in their eligibility criteria — </w:t>
      </w:r>
      <w:r>
        <w:rPr>
          <w:i/>
        </w:rPr>
        <w:t>S. aureus</w:t>
      </w:r>
      <w:r>
        <w:t xml:space="preserve">, </w:t>
      </w:r>
      <w:r>
        <w:rPr>
          <w:i/>
        </w:rPr>
        <w:t>S. epidermidis</w:t>
      </w:r>
      <w:r>
        <w:t xml:space="preserve">, </w:t>
      </w:r>
      <w:r>
        <w:rPr>
          <w:i/>
        </w:rPr>
        <w:t>E. coli</w:t>
      </w:r>
      <w:r>
        <w:t xml:space="preserve">, ESBL-producing Enterobacteriaceae, nontuberculous mycobacteria — and two do not evaluate phage therapy in patients, one being a biobank and the other an observational study whose registered intervention is «none». The clearest case is a phage trial against </w:t>
      </w:r>
      <w:r>
        <w:rPr>
          <w:i/>
        </w:rPr>
        <w:t>E. coli</w:t>
      </w:r>
      <w:r>
        <w:t xml:space="preserve"> in children with diarrhoea, whose indexed title — «Antibacterial Treatment Against Diarrhea in Oral Rehydration Solution» — does not let you tell.</w:t>
      </w:r>
    </w:p>
    <w:p>
      <w:r>
        <w:t xml:space="preserve">The </w:t>
      </w:r>
      <w:r>
        <w:rPr>
          <w:b/>
        </w:rPr>
        <w:t>remaining 7</w:t>
      </w:r>
      <w:r>
        <w:t xml:space="preserve"> state no organism at all: their record allows the criterion to be verified neither for nor against. Excluding them required a protocol amendment, because no code in the vocabulary said that. </w:t>
      </w:r>
      <w:r>
        <w:rPr>
          <w:b/>
        </w:rPr>
        <w:t>NOORG</w:t>
      </w:r>
      <w:r>
        <w:t xml:space="preserve"> is the eleventh, and a sibling of NOREC: the other codes exclude for what the study says, NOREC for what this review could not read, and NOORG for what the registry does not declare. The last two are properties of the process, not of the study. The amendment and the 7 exclusions were signed by both authors on 14 September 2026, and what they cost should be said: these seven studies are part of the evidence for what this work argues, so they leave the total but are counted one by one in Figure 1 and in the exclusions annex. The 29 records travel with the supplementary material, and the literal sentence of the registry supporting each judgement is filed beside them.</w:t>
      </w:r>
    </w:p>
    <w:p>
      <w:r>
        <w:t xml:space="preserve">Reading them also surfaced a </w:t>
      </w:r>
      <w:r>
        <w:rPr>
          <w:b/>
        </w:rPr>
        <w:t>duplicate</w:t>
      </w:r>
      <w:r>
        <w:t>: the Phage4Cure-001 trial is in CTIS under two identifiers, one per protocol version, and had entered as two studies because their titles differ by two words. It is a single trial, verified and signed, and is counted once.</w:t>
      </w:r>
    </w:p>
    <w:p>
      <w:r>
        <w:t xml:space="preserve">All 65 studies in the corpus have their full article. Before the full-text criterion, </w:t>
      </w:r>
      <w:r>
        <w:rPr>
          <w:b/>
        </w:rPr>
        <w:t>42 of the 128 studies were trial registry entries alone</w:t>
      </w:r>
      <w:r>
        <w:t>, with no locatable associated publication. That figure, which the criterion removes from the corpus but not from the field, by itself describes a literature in which almost one registered study in three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All 65 studies in the corpus have their full text, obtained through legitimate open-access routes. Since the criterion of section 2.9 that is the entry condition, so the </w:t>
      </w:r>
      <w:r>
        <w:rPr>
          <w:b/>
        </w:rPr>
        <w:t>100.0 %</w:t>
      </w:r>
      <w:r>
        <w:t xml:space="preserve"> rate measures the criterion, not retrieval. Retrieval is measured just before it: the text had been obtained for </w:t>
      </w:r>
      <w:r>
        <w:rPr>
          <w:b/>
        </w:rPr>
        <w:t>65 of the 86 studies with an article or abstract (75.6 %)</w:t>
      </w:r>
      <w:r>
        <w:t>. The remaining 21 were not obtained. Their availability had been re-checked on 2 September 2026 against three independent indexes — Europe PMC, OpenAlex and Semantic Scholar — and none of the 21 had a locatable open-access copy: some are listed without one and others, the 3 conference abstracts among them, are not listed in the indexes. They were not requested through interlibrary loan or from the authors: the documentary gap is not mitigated by any further route, which is why the criterion excluded them instead of leaving them pending.</w:t>
      </w:r>
    </w:p>
    <w:p>
      <w:r>
        <w:t xml:space="preserve">The unretrieved fraction </w:t>
      </w:r>
      <w:r>
        <w:rPr>
          <w:b/>
        </w:rPr>
        <w:t>was not a random sample of the whole</w:t>
      </w:r>
      <w:r>
        <w:t xml:space="preserve"> (Table 3), and neither is the criterion that excludes it. Counting the 4 NOREC studies, the studies the criterion leaves out contain 7 of the 9 comparative designs, </w:t>
      </w:r>
      <w:r>
        <w:rPr>
          <w:b/>
        </w:rPr>
        <w:t>77.8 %</w:t>
      </w:r>
      <w:r>
        <w:t>, although they report fewer patients overall. Of the 7 randomised trials identified with an article or abstract, the corpus keeps 2 — PhagoBurn [@Jault2019_phagoburn] and BX004-A [@Weiner2025_natcomms] — and the other 5 left under the criterion, among them the TP-102 trial [@NirPaz2025_med_tp102].</w:t>
      </w:r>
    </w:p>
    <w:p>
      <w:r>
        <w:t>The asymmetry is itself a finding. Full-text accessibility covaries with region of publication and with study design, and the full-text criterion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65 studies in the corpus were published between </w:t>
      </w:r>
      <w:r>
        <w:rPr>
          <w:b/>
        </w:rPr>
        <w:t>2017 and 2026</w:t>
      </w:r>
      <w:r>
        <w:t xml:space="preserve">, and </w:t>
      </w:r>
      <w:r>
        <w:rPr>
          <w:b/>
        </w:rPr>
        <w:t>86.2 %</w:t>
      </w:r>
      <w:r>
        <w:t xml:space="preserve"> since 2020. This is a young and rapidly expanding evidence base (Table 1).</w:t>
      </w:r>
    </w:p>
    <w:p>
      <w:r>
        <w:t xml:space="preserve">Its composition by design is what a rescue literature produces, not what a synthesis of efficacy needs: </w:t>
      </w:r>
      <w:r>
        <w:rPr>
          <w:b/>
        </w:rPr>
        <w:t>34 single case reports (52.3 %)</w:t>
      </w:r>
      <w:r>
        <w:t xml:space="preserve">, 16 case series, 7 prospective cohorts, 2 randomised trials, 0 non-randomised trials and 3 retrospective cohorts. A further 3 do not state a recognisable design in the abstract. Comparative designs total </w:t>
      </w:r>
      <w:r>
        <w:rPr>
          <w:b/>
        </w:rPr>
        <w:t>2 studies, 3.1 %</w:t>
      </w:r>
      <w:r>
        <w:t xml:space="preserve"> of the whole, and are the only ones able to sustain a claim of relative efficacy.</w:t>
      </w:r>
    </w:p>
    <w:p>
      <w:r>
        <w:t>Where stated, geographic origin is spread across Georgia and Poland (4 studies each), France (3), Belgium and the United States (2 each), and 9 other origins with one study each. It is not stated in 41 of the 65 studies. The fall in Russian representation relative to the pre-amendment corpus, from 34 studies to 1, is mainly an effect of the language criterion,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70.8 %</w:t>
      </w:r>
      <w:r>
        <w:t xml:space="preserve"> of studies: 50.8 % do not mention it at all and a further 20.0 %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49.2 %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26.2 %</w:t>
      </w:r>
      <w:r>
        <w:t>.</w:t>
      </w:r>
    </w:p>
    <w:p>
      <w:pPr>
        <w:pStyle w:val="ListBullet"/>
      </w:pPr>
      <w:r>
        <w:t xml:space="preserve">Fulfilment of the </w:t>
      </w:r>
      <w:r>
        <w:rPr>
          <w:b/>
        </w:rPr>
        <w:t>DTR</w:t>
      </w:r>
      <w:r>
        <w:t xml:space="preserve"> criterion (difficult-to-treat resistance) is not stated in </w:t>
      </w:r>
      <w:r>
        <w:rPr>
          <w:b/>
        </w:rPr>
        <w:t>96.9 %</w:t>
      </w:r>
      <w:r>
        <w:t>.</w:t>
      </w:r>
    </w:p>
    <w:p>
      <w:r>
        <w:t xml:space="preserve">These figures describe reporting in the abstract, not necessarily in the full article, and the distinction matters because some of the information may sit in the body of the text. That said, the abstract is what databases index and what automated reviews consume. More than seven studies in ten failing to state their resistance category there means that no MDR/XDR/PDR stratification built from abstracts can be correct. That category is not merely descriptive: it is the review's population criterion. </w:t>
      </w:r>
      <w:r>
        <w:rPr>
          <w:b/>
        </w:rPr>
        <w:t>In 8 of the 73 arms the class falls below the multidrug-resistance threshold</w:t>
      </w:r>
      <w:r>
        <w:t xml:space="preserve"> (EST-001 A, EST-003 B, EST-053 A, EST-057 A, EST-088 A, EST-094 A, EST-106 A, EST-108 A). 2 are strata within studies that do include multidrug-resistant patients, and do not compromise the study's eligibility. The other 6 — EST-001, EST-053, EST-057, EST-088, EST-094 and EST-106 — are single-arm studies whose only patient is not multidrug-resistant. EST-001 and EST-094 are kept in the corpus by signed decision of the two authors on 22 September 2026, and EST-053, EST-057 and EST-088, which fell below the threshold when their class was checked against the article (next paragraph), by the same signed decision on 1 October, and EST-106, which fell below the threshold when its class was resolved that same day, by the one signed on 3 October. All are declared here so the reader can discount them.</w:t>
      </w:r>
    </w:p>
    <w:p>
      <w:r>
        <w:rPr>
          <w:b/>
        </w:rPr>
        <w:t>The class was then checked against the article.</w:t>
      </w:r>
      <w:r>
        <w:t xml:space="preserve"> The two authors re-read the 70 studies that then had full text, sought the antibiogram and applied the definitions of Magiorakos et al.; each conclusion carries the sentence or table of the article it rests on and the signature of both (annex S23). In 9 the reading found no patient with </w:t>
      </w:r>
      <w:r>
        <w:rPr>
          <w:i/>
        </w:rPr>
        <w:t>P. aeruginosa</w:t>
      </w:r>
      <w:r>
        <w:t xml:space="preserve"> treated with phages. The two authors excluded 5 with code ORG (EST-009, EST-055, EST-132, EST-181 and EST-208; section 3.1.1) and kept 4, which are declared here with what the article says: in EST-152 and EST-170 the only mention of </w:t>
      </w:r>
      <w:r>
        <w:rPr>
          <w:i/>
        </w:rPr>
        <w:t>P. aeruginosa</w:t>
      </w:r>
      <w:r>
        <w:t xml:space="preserve"> is the description of the patient of another study in the corpus (EST-049 and EST-106), and in EST-129 and EST-135 the patient had </w:t>
      </w:r>
      <w:r>
        <w:rPr>
          <w:i/>
        </w:rPr>
        <w:t>P. aeruginosa</w:t>
      </w:r>
      <w:r>
        <w:t xml:space="preserve">, but the phage was not directed against it. The same holds in EST-051, which is also kept. In EST-096, kept by the same decision, patient 10 did receive a phage against </w:t>
      </w:r>
      <w:r>
        <w:rPr>
          <w:i/>
        </w:rPr>
        <w:t>P. aeruginosa</w:t>
      </w:r>
      <w:r>
        <w:t xml:space="preserve"> (Ps1N/734), but the article's two tables contradict each other on whether the bacterium was still present when treatment began. Of the 65 studies with full text that remain in the corpus, the class could be checked in 30: in 22 against a printed antibiogram and in 8 against a description of susceptibility in the text; in 31 there is nothing to check it against — the antibiogram is not published or sits in supplementary material that was not obtained — and the remaining 4 are those kept without treated </w:t>
      </w:r>
      <w:r>
        <w:rPr>
          <w:i/>
        </w:rPr>
        <w:t>P. aeruginosa</w:t>
      </w:r>
      <w:r>
        <w:t>. Of the 30 checked, the class matched the coded one in 18; in 5 the extraction had it as not classifiable and the article allowed it to be assigned — 3 below the threshold and 2 XDR —; in 2 it was more severe than coded (EST-043 and EST-047); in 3 the declared class was not confirmed (EST-015, EST-030 and EST-042), and in 2 it changes between patients or between isolates of the same arm (EST-124 and EST-169). The 35 corrections the reading leaves unambiguous for the whole arm — 8 of class, 17 of its source and 10 of the DTR criterion — entered the extraction with the value the model derived from the text both authors signed. The 9 studies in which it left an arm with more than one value were resolved by the two authors on 1 October 2026: in 5 the extraction was corrected (EST-047, EST-048, EST-058, EST-106 and EST-124) and in 4 it was left as it was (EST-004, EST-019, EST-042 and EST-169). Two of those four are declared expressly: EST-042 keeps the PDR its authors declare although its own antibiogram does not support it, and EST-169 keeps in a single arm one patient below the threshold and another XDR.</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73 extracted arms.</w:t>
      </w:r>
    </w:p>
    <w:p>
      <w:r>
        <w:t xml:space="preserve">Completeness is uneven and, at best, partial. Adverse events are the outcome most often reported with a denominator (89.0 % of arms) and emergence of phage resistance the least (35.6 %), despite being the outcome that determines whether the intervention retains its usefulness. The 73 arms belong to studies whose full article was read (section 2.9), so an outcome that is not on record is an outcome the article does not report, not a documentary gap of this review. Clinical success, the outcome that published syntheses pool, is reported with numerator and denominator in 87.7 % of arms. Two arms used to report a numerator larger than their denominator — thirteen clinical successes in one patient and five adverse events in four. On re-reading their articles these turned out to be the numerator of the whole series (13 of 15 patients) and the number of treatment courses rather than of events; both fields were set to NA by signed decision of the two authors on 22 September 2026, and </w:t>
      </w:r>
      <w:r>
        <w:rPr>
          <w:b/>
        </w:rPr>
        <w:t>no arm now reports an impossible proportion</w:t>
      </w:r>
      <w:r>
        <w:t>. The denominator for EST-021 is that of its phage arm (13); the article reports clinical success over the mITT population of that arm, which is 12, and the extraction form has no denominator of its own for the outcome, so the pair is recorded as 6/13 and the difference is declared here.</w:t>
      </w:r>
    </w:p>
    <w:p>
      <w:r>
        <w:t xml:space="preserve">That 87.7 % is misleading, however, if read as availability for pooling. </w:t>
      </w:r>
      <w:r>
        <w:rPr>
          <w:b/>
        </w:rPr>
        <w:t>In 43 of the 73 arms (58.9 %) no operational definition of clinical success is on record</w:t>
      </w:r>
      <w:r>
        <w:t>, and in all 43 the reviewers established this by reading the article: 42 state a number of patients with a "good outcome" without saying what had to be observed to count one, and 1 left the field empty. A numerator without a definition names nothing comparable to another study's numerator.</w:t>
      </w:r>
    </w:p>
    <w:p>
      <w:r>
        <w:t xml:space="preserve">Study design is on record in all 73 arms: </w:t>
      </w:r>
      <w:r>
        <w:rPr>
          <w:b/>
        </w:rPr>
        <w:t>4 arms are trials</w:t>
      </w:r>
      <w:r>
        <w:t xml:space="preserve"> (randomised or not) and </w:t>
      </w:r>
      <w:r>
        <w:rPr>
          <w:b/>
        </w:rPr>
        <w:t>8 are cohorts</w:t>
      </w:r>
      <w:r>
        <w:t>. Section 3.3 and Table 1 call only the trials comparative, with the design the abstract states, which is why the figure there is 2 studies; when this section says comparative it also includes the cohorts, with the design adjudicated on the article, and there are 12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73 arms</w:t>
      </w:r>
      <w:r>
        <w:t>. The next two are the eligibility criteria this review itself declares in section 2.2, and only one of those 2 survives them.</w:t>
      </w:r>
    </w:p>
    <w:p>
      <w:r>
        <w:t xml:space="preserve">The first is that the outcome be attributable to </w:t>
      </w:r>
      <w:r>
        <w:rPr>
          <w:i/>
        </w:rPr>
        <w:t>P. aeruginosa</w:t>
      </w:r>
      <w:r>
        <w:t>. Section 2.2 admits multi-pathogen studies only when the subgroup is separable, and in one of the two the extraction records that the article does not separate the data: its numerator counts patients of several species. One remains. The second is that administration be therapeutic, and that arm's is.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73 arms of this literature, </w:t>
      </w:r>
      <w:r>
        <w:rPr>
          <w:b/>
        </w:rPr>
        <w:t>not one meets at once the arithmetic conditions, the eligibility criteria and the metric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More than half the studies (52.3 %) are single cases, in which the success proportion can only take the values 0 or 1 and its binomial variance is maximal. Pooling 38 denominators of one with a handful of larger series produces a weighted mean whose weights are set by series size rather than by evidential quality.</w:t>
      </w:r>
    </w:p>
    <w:p>
      <w:r>
        <w:rPr>
          <w:b/>
        </w:rPr>
        <w:t>Outcome.</w:t>
      </w:r>
      <w:r>
        <w:t xml:space="preserve"> In the articles of the corpus,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The 2 randomised trials in the corpus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effect of the full-text criterion documented in section 3.2: 7 of the 9 comparative designs the corpus could have contributed to a synthesis were left out of it. </w:t>
      </w:r>
      <w:r>
        <w:rPr>
          <w:b/>
        </w:rPr>
        <w:t>For these reasons no pooled efficacy proportion is presented here</w:t>
      </w:r>
      <w:r>
        <w:t>, and we argue that those published in previous reviews rest on assumptions these data do not verify.</w:t>
      </w:r>
    </w:p>
    <w:p>
      <w:pPr>
        <w:pStyle w:val="Heading2"/>
      </w:pPr>
      <w:r>
        <w:t>3.7 Risk of bias in the comparative studies</w:t>
      </w:r>
    </w:p>
    <w:p>
      <w:r>
        <w:t>Of the 2 studies assessed with RoB 2, the overall judgement is low risk in 1 and some concerns in 1. Of the 7 studies assessed with ROBINS-I, the overall judgement is no information in 1 and serious risk in 6. The domain concentrating most unfavourable judgements —high risk under RoB 2; serious or critical under ROBINS-I— in ROBINS-I is “bias due to confounding”, in 6 of 7. The two reviewers' notebooks, in 8 of the 9 assessable studies, agree on 49 of the 60 comparable judgements (81.7 %; Cohen's kappa 0.74), an agreement that does not measure two independent assessments (section 2.7). The 11 disagreements were resolved by consensus, all 11 towards the judgement in D.V.'s notebook, none towards the other reviewer's. The remaining study was assessed in a separate workbook and has a single reading.</w:t>
      </w:r>
    </w:p>
    <w:p>
      <w:r>
        <w:t xml:space="preserve">A comparative design label does not guarantee a comparison group: of the 9 assessable studies, 3 have one (EST-008, EST-021 and EST-108) and in 6 the signed domain-1 notes state there is none. Of the 3 with a comparison group, 2 compare phage with no phage —EST-108 compares with and without antibiotic within phage-treated patients—, and both give a between-arm contrast for </w:t>
      </w:r>
      <w:r>
        <w:rPr>
          <w:i/>
        </w:rPr>
        <w:t>P. aeruginosa</w:t>
      </w:r>
      <w:r>
        <w:t xml:space="preserve"> (EST-008 and EST-021; that of EST-008 is partial).</w:t>
      </w:r>
    </w:p>
    <w:p>
      <w:r>
        <w:rPr>
          <w:b/>
        </w:rPr>
        <w:t>Table 7.</w:t>
      </w:r>
      <w:r>
        <w:t xml:space="preserve"> Domain-level risk of bias for the 9 assessable comparative studies. RoB 2 for randomised trials (five domains) and ROBINS-I for non-randomised trials and cohorts (seven). “n. a.” marks domains the instrument does not contemplate, not a missing judgement.</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eight sources, no language restriction, regional literature and trial registers included. The result is 65 studies with their full article; the search had delimited 218 before the language restriction adopted at the end, and 118 left later, 63 of them for lacking the article. That breadth does not speak well of the field's maturity: most of what was identified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More than half the studies (52.3 %) are a single case. Only 2 of the 65 are comparative according to the abstract. In more than seven out of ten, the resistance category by which stratification is attempted cannot be assigned. And, before the full-text criterion, almost one study in three (42 of 128) existed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 The full-text criterion pushes in the same direction: the studies whose article was not obtained concentrate the comparative designs (section 3.2).</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42 of the 128 studies that reached the full-text criterion were registry entries alone, without a locatable publication, is a first-order publication-bias problem, and no statistical method resolves it; the criterion removes them from this corpus, not from the field.</w:t>
      </w:r>
    </w:p>
    <w:p>
      <w:pPr>
        <w:pStyle w:val="Heading2"/>
      </w:pPr>
      <w:r>
        <w:t>4.4 Strengths and limitations</w:t>
      </w:r>
    </w:p>
    <w:p>
      <w:r>
        <w:rPr>
          <w:b/>
        </w:rPr>
        <w:t>Strengths.</w:t>
      </w:r>
      <w:r>
        <w:t xml:space="preserve"> The search covered eight sources across two separate streams —Scopus in two arms—, with no language restriction. Selection was audited against a positive-control set fixed before screening began: screening lost none of the 40 checkable by PMID until the language amendment, which took one and is declared (section 2.9). The whole pipeline is re-runnable code with content-derived keys, and an automated check reconciles each link with the next.</w:t>
      </w:r>
    </w:p>
    <w:p>
      <w:r>
        <w:rPr>
          <w:b/>
        </w:rPr>
        <w:t>Limitations.</w:t>
      </w:r>
      <w:r>
        <w:t xml:space="preserve"> There are eight, and all are material. </w:t>
      </w:r>
      <w:r>
        <w:rPr>
          <w:b/>
        </w:rPr>
        <w:t>First</w:t>
      </w:r>
      <w:r>
        <w:t xml:space="preserve">, the record-by-record decisions of title and abstract screening were issued by a language model as sole reviewer, without duplication (section 2.4), with a vocabulary of reasons that was not fixed before screening began; nobody re-read what it excluded except a sample of 350 records, re-screened by a single reviewer, and agreement between the model and a human reader was not measured over what the model admitted. The positive-control audit and the re-screen bound false negatives without ruling them out: over the frame of 13 661 exclusions, the re-screen admits up to 143 lost records. </w:t>
      </w:r>
      <w:r>
        <w:rPr>
          <w:b/>
        </w:rPr>
        <w:t>Second</w:t>
      </w:r>
      <w:r>
        <w:t xml:space="preserve">, the corpus admits only studies with the full article (section 2.9), a criterion extended to all on 6 October 2026, with screening and extraction finished, which excluded 63 studies, 42 of them registry entries without publication. It depends on the reviewer's access rather than on the study's content, and it is not neutral: it takes 7 of the 9 comparative designs and 5 of the 7 randomised trials. With it, full-text retrieval is 100 % by construction and retrieval bias is no longer measured within the corpus; it is declared as an effect of the criterion (Table 3). </w:t>
      </w:r>
      <w:r>
        <w:rPr>
          <w:b/>
        </w:rPr>
        <w:t>Third</w:t>
      </w:r>
      <w:r>
        <w:t xml:space="preserve">, the search did not query Embase or the WHO ICTRP, which reduces coverage of case series and conference abstracts and leaves the register stream limited to the United States and the European Union. </w:t>
      </w:r>
      <w:r>
        <w:rPr>
          <w:b/>
        </w:rPr>
        <w:t>Fourth</w:t>
      </w:r>
      <w:r>
        <w:t xml:space="preserve">, it was limited to publications from 2016 to 2026, so it describes recent output rather than the whole field. </w:t>
      </w:r>
      <w:r>
        <w:rPr>
          <w:b/>
        </w:rPr>
        <w:t>Fifth</w:t>
      </w:r>
      <w:r>
        <w:t xml:space="preserve">, this report describes how completely outcomes are reported (section 3.5) but presents no efficacy estimates and no GRADE certainty (section 2.7): it is a characterisation of the evidence base, not a synthesis of its results. Risk of bias is assessed only in the comparative studies with full text, at domain level and by consensus, so it inherits the effect of the full-text criterion. Neither extraction nor risk of bias has established independence between its two readings: the extraction notebooks share a free-text column character for character (section 2.6), and the risk-of-bias notebooks 7 418 characters of notes (section 2.7). Agreement between the two risk-of-bias notebooks was 81.7 % (49 of 60 judgements; Cohen's kappa 0.74), and the 11 disagreements were all resolved towards D.V.'s notebook. </w:t>
      </w:r>
      <w:r>
        <w:rPr>
          <w:b/>
        </w:rPr>
        <w:t>Sixth</w:t>
      </w:r>
      <w:r>
        <w:t xml:space="preserve">, before that criterion the full text had been obtained for 75.6 % of the studies with an article or abstract (65 of 86), and the missing fraction, which the criterion left out, is enriched in comparative designs, so what is described under-represents the comparative part of the field. </w:t>
      </w:r>
      <w:r>
        <w:rPr>
          <w:b/>
        </w:rPr>
        <w:t>Seventh</w:t>
      </w:r>
      <w:r>
        <w:t xml:space="preserve">, the restriction to English and Spanish was adopted once screening had closed and removed 35 studies at abstract screening, 18 of them comparative and one from the positive-control set, and 4 more on reading the full text; another 3 left because their language could not be verified; it pushes the corpus in the same direction as the retrieval bias and narrows what this review can say about the literature of Eastern Europe. </w:t>
      </w:r>
      <w:r>
        <w:rPr>
          <w:b/>
        </w:rPr>
        <w:t>Eighth</w:t>
      </w:r>
      <w:r>
        <w:t xml:space="preserve">, the corpus counts reports and studies, not distinct patients, and contains </w:t>
      </w:r>
      <w:r>
        <w:rPr>
          <w:b/>
        </w:rPr>
        <w:t>20 patients described in more than one study</w:t>
      </w:r>
      <w:r>
        <w:t xml:space="preserve">, spread over 18 of the 65. Three groups concentrate them. At the Israeli phage therapy centre, EST-003 shares 8 of its patients: 6 with EST-070, another series from the same centre, and the rest with EST-012 and EST-015; a 10-year-old girl with an infected Berlin Heart EXCOR device appears in EST-003, EST-070 and EST-077, and a 7-year-old girl with an osteoarticular infection in EST-003, EST-070 and EST-095. At the University of California San Diego, EST-034 shares 3 patients with EST-049, EST-061 and EST-077. And in the Belgian consortium, EST-108 states that 27 of its 100 patients had been reported before and cites 15 references, of which </w:t>
      </w:r>
      <w:r>
        <w:rPr>
          <w:b/>
        </w:rPr>
        <w:t>7 are studies in this corpus</w:t>
      </w:r>
      <w:r>
        <w:t xml:space="preserve"> — EST-002, EST-010, EST-016, EST-046, EST-062, EST-124 and EST-164 — contributing 8 patients; to them is added EST-088, published later, whose patient matches one in EST-108 in infection, species and phages. The examination covered the 65 full texts and gathered 30 pairs: 15 flagged by a detector based on product, country and citation, 8 found by the model's reading of 22 September 2026 and 7 by the authors' re-reading of 30 September. 19 were confirmed, 11 were ruled out and </w:t>
      </w:r>
      <w:r>
        <w:rPr>
          <w:b/>
        </w:rPr>
        <w:t>none remains unread</w:t>
      </w:r>
      <w:r>
        <w:t>; 28 of the 30 verdicts carry the sentence they rest on and the signature of both authors (annex S21); the other 2, rulings-out made by the model's reading of 22 September 2026, are not recorded as signed. As the review publishes no pooled estimate, the duplication alters no effect figure, but it prevents reading the corpus as 65 disjoint sets of patients.</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(according to D.V.'s statement, running the searches in each interface with the guidance of the language model, which drafted the equations; data extraction; risk of bias), direction of the software, data curation, analysis and visualisation, which the language model programmed and ran, review of the drafts, which the model wrote, and project administration. </w:t>
      </w:r>
      <w:r>
        <w:rPr>
          <w:b/>
        </w:rPr>
        <w:t>N. Trelles:</w:t>
      </w:r>
      <w:r>
        <w:t xml:space="preserve"> methodology (decision, with D.V., on the outcome rules proposed by the language model, according to D.V.; the record of 12 August 2026 left them as an unratified proposal), investigation, data extraction (122 of the 124 studies), risk of bias and validation. ‹‹N. TRELLES: WRITING — REVIEW AND EDITING, ONLY ONCE CONFIRMED IN WRITING››</w:t>
      </w:r>
    </w:p>
    <w:p>
      <w:r>
        <w:rPr>
          <w:b/>
        </w:rPr>
        <w:t>Data and code availability.</w:t>
      </w:r>
      <w:r>
        <w:t xml:space="preserve"> All material supporting this review is kept in a versioned project repository: the search corpus with the raw exports of all nine queries, the append-only decision logs of the three screening stages, both reviewers' extraction workbooks, the methodological decision records with their dates, and the complete pipeline code, which is re-executable from search to the figures in the manuscript. ‹‹PUBLIC DEPOSIT AND DOI — PENDING THE AUTHORS' DECISION››. The decision logs are append-only and preserve every correction alongside the row it supersedes.</w:t>
      </w:r>
    </w:p>
    <w:p>
      <w:r>
        <w:rPr>
          <w:b/>
        </w:rPr>
        <w:t>Use of artificial intelligence.</w:t>
      </w:r>
      <w:r>
        <w:t xml:space="preserve"> A generative language model (Claude Opus 5, Anthropic) took part in every phase of this review. </w:t>
      </w:r>
      <w:r>
        <w:rPr>
          <w:b/>
        </w:rPr>
        <w:t>Criteria.</w:t>
      </w:r>
      <w:r>
        <w:t xml:space="preserve"> It drafted the proposals for the criteria that were adopted: the study as the unit of inclusion and the eligibility of conference abstracts (5 August 2026), which D.V. decided; codes PRO and INT (1 September 2026), on D.V.'s instruction; code NOORG (14 September 2026), which both authors signed; and the outcome rules, which, according to D.V., both authors decided, although the record of 12 August 2026 left them as an unratified proposal. The language criterion, adopted at the team's request, and the full-text criteria (NOREC and NOPDF), which D.V. asked for, were not proposed by the model. On 4 August it also added mid-batch, in its screening scripts, two rules that make the criteria concrete, with no record of a decision by the authors. </w:t>
      </w:r>
      <w:r>
        <w:rPr>
          <w:b/>
        </w:rPr>
        <w:t>Screening.</w:t>
      </w:r>
      <w:r>
        <w:t xml:space="preserve"> As sole reviewer and without duplication, it issued the record-by-record decisions of title and abstract screening, including the 35 language exclusions at the abstract stage, and the pre-extraction from abstracts. On the first day of screening it wrote the reasons as free text; afterwards it used six reasons whose wording comes from those texts, and there is no record that the authors fixed them before starting. D.V. was the only human reviewer: according to D.V.'s statement, D.V. examined one by one the reports that survived screening, but that examination was not recorded; those the model excluded were not re-read by any human, except a sample of 350 that D.V. re-screened. </w:t>
      </w:r>
      <w:r>
        <w:rPr>
          <w:b/>
        </w:rPr>
        <w:t>Search.</w:t>
      </w:r>
      <w:r>
        <w:t xml:space="preserve"> It drafted the equations for each platform and their design rules (3 August 2026), which, according to D.V., D.V. ran in each interface with the model's guidance; it drafted the messages of the commits of 3 August 2026, which narrate that execution in the first person, and it downloaded the PubMed and ClinicalTrials.gov records via API. </w:t>
      </w:r>
      <w:r>
        <w:rPr>
          <w:b/>
        </w:rPr>
        <w:t>Selection and extraction.</w:t>
      </w:r>
      <w:r>
        <w:t xml:space="preserve"> It located and downloaded full texts, also through a browser; it proposed the grouping of reports into studies; it read the full texts and the registry records and proposed, with their quotation, the exclusions they support; of the 118 full-text exclusions, both authors signed 89, D.V. alone signed 2, and 27 were recorded on D.V.'s instruction of 1 and 2 September 2026 with no record of N.T.'s signature; it generated, merged and compared the extraction notebooks; it proposed, with their quotation, a resolution for part of the disagreements of a comparison that was later redone; it extracted the cells of the third patient of EST-121, signed by D.V. alone, and proposed modality corrections that both authors signed; it translated into categories the signed conclusions of the re-reading and applied those that left a single value; it flagged with a detector it wrote 15 of the 30 pairs of studies that could share patients and found another 8 in its reading of 22 September 2026, before the authors' re-reading, which found the remaining 7, and ruled out 2 of them without the authors signing that ruling-out; and it drafted, in D.V.'s first person, the instructions and messages addressed to N.T., among them the one that asked N.T. to sign the modality corrections and presented the model's reading as D.V.'s. </w:t>
      </w:r>
      <w:r>
        <w:rPr>
          <w:b/>
        </w:rPr>
        <w:t>Risk of bias.</w:t>
      </w:r>
      <w:r>
        <w:t xml:space="preserve"> It placed in each cell of the forms, as a comment, the sentences of the article it located automatically for each domain, and it generated the consensus notebook with the matching judgements preloaded. </w:t>
      </w:r>
      <w:r>
        <w:rPr>
          <w:b/>
        </w:rPr>
        <w:t>Pipeline and writing.</w:t>
      </w:r>
      <w:r>
        <w:t xml:space="preserve"> It wrote and ran all the pipeline code, from which every figure, table and number comes, and it drafted the manuscript, the supplementary files, the cover letter and the decision records. Except for the above, data extraction and risk-of-bias judgements were made by the authors, although the independence of their two readings is not established (sections 2.6 and 2.7). Every decision of the current screening is logged with its reason and timestamp and is supplied in full (S3, S4), except that 77 abstract decisions inherited by PMID from the first pass of 4 August over PubMed arm A carry in S3 the date they were copied to the pool, not the date of the decision; that first pass, which the pool screening replaced, is kept in the repository and not in S3. D.V. takes responsibility for the accuracy and integrity of the work; N.T.'s awaits written approval.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65 studies).</w:t>
      </w:r>
    </w:p>
    <w:p>
      <w:r>
        <w:rPr>
          <w:b/>
        </w:rPr>
        <w:t>Table 2.</w:t>
      </w:r>
      <w:r>
        <w:t xml:space="preserve"> Reporting completeness for variables critical to stratification.</w:t>
      </w:r>
    </w:p>
    <w:p>
      <w:r>
        <w:rPr>
          <w:b/>
        </w:rPr>
        <w:t>Table 3.</w:t>
      </w:r>
      <w:r>
        <w:t xml:space="preserve"> What the full-text criterion leaves out: included studies against those excluded for lacking the article.</w:t>
      </w:r>
    </w:p>
    <w:p>
      <w:r>
        <w:rPr>
          <w:b/>
        </w:rPr>
        <w:t>Table 4.</w:t>
      </w:r>
      <w:r>
        <w:t xml:space="preserve"> Exclusion reasons by stage, using the closed vocabulary.</w:t>
      </w:r>
    </w:p>
    <w:p>
      <w:r>
        <w:rPr>
          <w:b/>
        </w:rPr>
        <w:t>Table 5.</w:t>
      </w:r>
      <w:r>
        <w:t xml:space="preserve"> Reporting completeness for the five declared outcomes, over the adjudicated extraction (n = 73 arms).</w:t>
      </w:r>
    </w:p>
    <w:p>
      <w:r>
        <w:rPr>
          <w:b/>
        </w:rPr>
        <w:t>Table 6.</w:t>
      </w:r>
      <w:r>
        <w:t xml:space="preserve"> Arms surviving each requirement for a pooled proportion of clinical success (n = 73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the title and abstract boxes break it down by the codes of Table 4, and the full-text box adds the codes used only at that phase (PRO, INT, NOREC, NOORG and NOPDF), described in Supplement S16. The register stream enters from the side and does not pass through bibliographic deduplication, because a registry entry has no DOI with which to collide against an article. The final box holds the included studies, all with their full text read, which is the entry condition since the criterion of section 2.9. </w:t>
      </w:r>
      <w:r>
        <w:rPr>
          <w:i/>
        </w:rPr>
        <w:t>Source.</w:t>
      </w:r>
      <w:r>
        <w:t xml:space="preserve"> Project screening pipeline; documented search runs of 3 and 4 August 2026, with the BVS export added to the corpus on 10 August.</w:t>
      </w:r>
    </w:p>
    <w:p>
      <w:r>
        <w:rPr>
          <w:b/>
        </w:rPr>
        <w:t>Figure 2. Composition of the retrievable evidence base (n = 65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95 studies with a retrievable publication.</w:t>
      </w:r>
    </w:p>
    <w:p>
      <w:pPr>
        <w:pStyle w:val="Heading1"/>
      </w:pPr>
      <w:r>
        <w:t>Supplementary material</w:t>
      </w:r>
    </w:p>
    <w:p>
      <w:pPr>
        <w:pStyle w:val="ListBullet"/>
      </w:pPr>
      <w:r>
        <w:rPr>
          <w:b/>
        </w:rPr>
        <w:t>S0.</w:t>
      </w:r>
      <w:r>
        <w:t xml:space="preserve"> Self-assessment of the manuscript drafted by the language model (Claude Opus 5) from the standpoint of a journal editor; it is not an editor's report or an external review.</w:t>
      </w:r>
    </w:p>
    <w:p>
      <w:pPr>
        <w:pStyle w:val="ListBullet"/>
      </w:pPr>
      <w:r>
        <w:rPr>
          <w:b/>
        </w:rPr>
        <w:t>S1.</w:t>
      </w:r>
      <w:r>
        <w:t xml:space="preserve"> PRISMA 2020 checklist.</w:t>
      </w:r>
    </w:p>
    <w:p>
      <w:pPr>
        <w:pStyle w:val="ListBullet"/>
      </w:pPr>
      <w:r>
        <w:rPr>
          <w:b/>
        </w:rPr>
        <w:t>S2.</w:t>
      </w:r>
      <w:r>
        <w:t xml:space="preserve"> Verbatim search strings by source, with their number of results.</w:t>
      </w:r>
    </w:p>
    <w:p>
      <w:pPr>
        <w:pStyle w:val="ListBullet"/>
      </w:pPr>
      <w:r>
        <w:rPr>
          <w:b/>
        </w:rPr>
        <w:t>S3.</w:t>
      </w:r>
      <w:r>
        <w:t xml:space="preserve"> The decisions of the screening in force, in two files: stage 2 (title) and stage 3 (abstract), each with its reason, who issued it and its timestamp. The first pass of 4 August 2026 over arm A of PubMed, which the pool screening replaced, is kept in the repository and not in S3.</w:t>
      </w:r>
    </w:p>
    <w:p>
      <w:pPr>
        <w:pStyle w:val="ListBullet"/>
      </w:pPr>
      <w:r>
        <w:rPr>
          <w:b/>
        </w:rPr>
        <w:t>S4.</w:t>
      </w:r>
      <w:r>
        <w:t xml:space="preserve"> Pre-extraction from the abstracts of the 65 studies with a retrievable publication, issued by the language model and flagged as partial in every record.</w:t>
      </w:r>
    </w:p>
    <w:p>
      <w:pPr>
        <w:pStyle w:val="ListBullet"/>
      </w:pPr>
      <w:r>
        <w:rPr>
          <w:b/>
        </w:rPr>
        <w:t>S5.</w:t>
      </w:r>
      <w:r>
        <w:t xml:space="preserve"> Listing of the 65 studies in the corpus, with their status and grouped reports. The 118 excluded after screening are in S16.</w:t>
      </w:r>
    </w:p>
    <w:p>
      <w:pPr>
        <w:pStyle w:val="ListBullet"/>
      </w:pPr>
      <w:r>
        <w:rPr>
          <w:b/>
        </w:rPr>
        <w:t>S6.</w:t>
      </w:r>
      <w:r>
        <w:t xml:space="preserve"> Audit of the screening against the 42 positive controls fixed before it began, 40 of them checkable by PMID.</w:t>
      </w:r>
    </w:p>
    <w:p>
      <w:pPr>
        <w:pStyle w:val="ListBullet"/>
      </w:pPr>
      <w:r>
        <w:rPr>
          <w:b/>
        </w:rPr>
        <w:t>S7.</w:t>
      </w:r>
      <w:r>
        <w:t xml:space="preserve"> ICMJE declarations.</w:t>
      </w:r>
    </w:p>
    <w:p>
      <w:pPr>
        <w:pStyle w:val="ListBullet"/>
      </w:pPr>
      <w:r>
        <w:rPr>
          <w:b/>
        </w:rPr>
        <w:t>S8.</w:t>
      </w:r>
      <w:r>
        <w:t xml:space="preserve"> Retrieval route resolved in August 2026 for each report that went to full text without an editorial DOI, PMID or NCT (45 rows: the 43 reports, of the 233 that went to full text, that lacked those identifiers, and 2 that had also gone to full text and that the language amendment of 11 August 2026 later excluded at abstract screening): the registry identifier or protocol code, the DOI located, the already identified trial it reports on, or the citation to search by. It does not record the download attempts or their outcome; the studies left without the full article are in S16 (NOPDF).</w:t>
      </w:r>
    </w:p>
    <w:p>
      <w:pPr>
        <w:pStyle w:val="ListBullet"/>
      </w:pPr>
      <w:r>
        <w:rPr>
          <w:b/>
        </w:rPr>
        <w:t>S9.</w:t>
      </w:r>
      <w:r>
        <w:t xml:space="preserve"> Language by report, with the class of evidence it provided.</w:t>
      </w:r>
    </w:p>
    <w:p>
      <w:pPr>
        <w:pStyle w:val="ListBullet"/>
      </w:pPr>
      <w:r>
        <w:rPr>
          <w:b/>
        </w:rPr>
        <w:t>S10.</w:t>
      </w:r>
      <w:r>
        <w:t xml:space="preserve"> Language of the body of the PDF of each of the 65 studies in the corpus: a mechanical detection over the text of the whole PDF, not over the metadata nor over the abstract alone, made by a pipeline script written by the language model, introduced on 6 October 2026 and redone on every run. It gives 65 in English; the mirar_a_mano ('check by hand') column flags 1 PDF for page-by-page review because of its share of Cyrillic or CJK characters.</w:t>
      </w:r>
    </w:p>
    <w:p>
      <w:pPr>
        <w:pStyle w:val="ListBullet"/>
      </w:pPr>
      <w:r>
        <w:rPr>
          <w:b/>
        </w:rPr>
        <w:t>S11.</w:t>
      </w:r>
      <w:r>
        <w:t xml:space="preserve"> Agreement between the two extractions, whose independence is not established, before disagreements were resolved.</w:t>
      </w:r>
    </w:p>
    <w:p>
      <w:pPr>
        <w:pStyle w:val="ListBullet"/>
      </w:pPr>
      <w:r>
        <w:rPr>
          <w:b/>
        </w:rPr>
        <w:t>S12.</w:t>
      </w:r>
      <w:r>
        <w:t xml:space="preserve"> How the 541 extraction disagreements were closed and who adjudicated them according to the log: both reviewers in 14 and a single reviewer in 525; 2 were closed by a mechanical rule, without joint sign-off.</w:t>
      </w:r>
    </w:p>
    <w:p>
      <w:pPr>
        <w:pStyle w:val="ListBullet"/>
      </w:pPr>
      <w:r>
        <w:rPr>
          <w:b/>
        </w:rPr>
        <w:t>S13.</w:t>
      </w:r>
      <w:r>
        <w:t xml:space="preserve"> Outcome extraction rules, with their documented correction. The language model drafted them; according to D.V., both authors decided them, and the record of 12 August 2026 left them as an unratified proposal.</w:t>
      </w:r>
    </w:p>
    <w:p>
      <w:pPr>
        <w:pStyle w:val="ListBullet"/>
      </w:pPr>
      <w:r>
        <w:rPr>
          <w:b/>
        </w:rPr>
        <w:t>S14.</w:t>
      </w:r>
      <w:r>
        <w:t xml:space="preserve"> Adjudicated extraction: one value per cell, arm by arm, after the disagreements were adjudicated. Underpins section 3.5 and Tables 5 and 6.</w:t>
      </w:r>
    </w:p>
    <w:p>
      <w:pPr>
        <w:pStyle w:val="ListBullet"/>
      </w:pPr>
      <w:r>
        <w:rPr>
          <w:b/>
        </w:rPr>
        <w:t>S15.</w:t>
      </w:r>
      <w:r>
        <w:t xml:space="preserve"> Provenance of every cell in S14: agreement, adjudicated by both reviewers, adjudicated by one, corrected against the text, single reading, or open.</w:t>
      </w:r>
    </w:p>
    <w:p>
      <w:pPr>
        <w:pStyle w:val="ListBullet"/>
      </w:pPr>
      <w:r>
        <w:rPr>
          <w:b/>
        </w:rPr>
        <w:t>S16.</w:t>
      </w:r>
      <w:r>
        <w:t xml:space="preserve"> The 118 studies the screening admitted that were excluded afterwards, with their reason code and who decided each exclusion according to the record: both authors signed 89, D.V. alone signed 2, and 27 were recorded on D.V.'s instruction of 1 and 2 September 2026 with no record of N.T.'s signature. 47 carry the quotation that supports it; the 63 without the full article (NOPDF) and the 4 without readable text (NOREC) have nothing to quote, and 4 more carry no quotation. Of those with a quotation, 17 quote the registry record and 1 the SciELO indexing.</w:t>
      </w:r>
    </w:p>
    <w:p>
      <w:pPr>
        <w:pStyle w:val="ListBullet"/>
      </w:pPr>
      <w:r>
        <w:rPr>
          <w:b/>
        </w:rPr>
        <w:t>S17.</w:t>
      </w:r>
      <w:r>
        <w:t xml:space="preserve"> Table 6 broken down: the seven requirements, arm by arm over the 73 arms, with the first one that fails and why.</w:t>
      </w:r>
    </w:p>
    <w:p>
      <w:pPr>
        <w:pStyle w:val="ListBullet"/>
      </w:pPr>
      <w:r>
        <w:rPr>
          <w:b/>
        </w:rPr>
        <w:t>S18.</w:t>
      </w:r>
      <w:r>
        <w:t xml:space="preserve"> The 68 risk-of-bias judgements, one per row, with what supports each in the signed notebook: a verbatim quotation in 24, a note without a quotation in 36 and nothing in 8, flagged as missing data.</w:t>
      </w:r>
    </w:p>
    <w:p>
      <w:pPr>
        <w:pStyle w:val="ListBullet"/>
      </w:pPr>
      <w:r>
        <w:rPr>
          <w:b/>
        </w:rPr>
        <w:t>S18b.</w:t>
      </w:r>
      <w:r>
        <w:t xml:space="preserve"> The sentences from each article that the language model located automatically for each risk-of-bias domain and placed as comments in the forms; they accompany what supports each judgement in S18, they do not replace it.</w:t>
      </w:r>
    </w:p>
    <w:p>
      <w:pPr>
        <w:pStyle w:val="ListBullet"/>
      </w:pPr>
      <w:r>
        <w:rPr>
          <w:b/>
        </w:rPr>
        <w:t>S19.</w:t>
      </w:r>
      <w:r>
        <w:t xml:space="preserve"> Which model issued the screening decisions, when, over which files, what D.V. examined, according to D.V.'s statement, and what was not recorded, flagged as missing data.</w:t>
      </w:r>
    </w:p>
    <w:p>
      <w:pPr>
        <w:pStyle w:val="ListBullet"/>
      </w:pPr>
      <w:r>
        <w:rPr>
          <w:b/>
        </w:rPr>
        <w:t>S20.</w:t>
      </w:r>
      <w:r>
        <w:t xml:space="preserve"> Which report each of the 73 arms came from, and with what evidence the link was established.</w:t>
      </w:r>
    </w:p>
    <w:p>
      <w:pPr>
        <w:pStyle w:val="ListBullet"/>
      </w:pPr>
      <w:r>
        <w:rPr>
          <w:b/>
        </w:rPr>
        <w:t>S21.</w:t>
      </w:r>
      <w:r>
        <w:t xml:space="preserve"> The 30 pairs of studies that could describe the same patients, with the signal that flagged them, the verdict after reading both articles, the patients shared and the sentence it rests on. 28 of the 30 verdicts carry the signature of both authors; the other 2, rulings-out made by the model's reading of 22 September 2026, are not recorded as signed.</w:t>
      </w:r>
    </w:p>
    <w:p>
      <w:pPr>
        <w:pStyle w:val="ListBullet"/>
      </w:pPr>
      <w:r>
        <w:rPr>
          <w:b/>
        </w:rPr>
        <w:t>S22.</w:t>
      </w:r>
      <w:r>
        <w:t xml:space="preserve"> For each stratification variable, how many studies state it in the full text, how many mention it without allowing classification, how many are silent, and how many have no text at all.</w:t>
      </w:r>
    </w:p>
    <w:p>
      <w:pPr>
        <w:pStyle w:val="ListBullet"/>
      </w:pPr>
      <w:r>
        <w:rPr>
          <w:b/>
        </w:rPr>
        <w:t>S23.</w:t>
      </w:r>
      <w:r>
        <w:t xml:space="preserve"> The resistance class of the 70 studies that had full text, checked against the article's antibiogram: the signed conclusion, the sentence or table it rests on, how the language model coded it from that conclusion and what changed in the extraction.</w:t>
      </w:r>
    </w:p>
    <w:p>
      <w:pPr>
        <w:pStyle w:val="ListBullet"/>
      </w:pPr>
      <w:r>
        <w:rPr>
          <w:b/>
        </w:rPr>
        <w:t>S24.</w:t>
      </w:r>
      <w:r>
        <w:t xml:space="preserve"> The 14 studies with a comparative design, re-extracted: comparator, allocation, time zero, assessment time, co-interventions, losses, estimand and whether there is a contrast for </w:t>
      </w:r>
      <w:r>
        <w:rPr>
          <w:i/>
        </w:rPr>
        <w:t>P. aeruginosa</w:t>
      </w:r>
      <w:r>
        <w:t>.</w:t>
      </w:r>
    </w:p>
    <w:p>
      <w:r>
        <w:t>A guide accompanies them explaining, file by file, what each contains and what question it lets the reader answer.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