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 previa: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 adjunta a propósito; PRISMA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95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S5_listado_155_estudios.xlsx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155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S11_concordancia_entre_extractores.pdf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Concordancia entre las dos extracciones independientes, variable a variable, antes de resolver nada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S12_resolucion_de_conflictos.pdf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Dónde está hoy cada desacuerdo y con qué se resuelve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S13_reglas_de_extraccion_de_desenlaces.pdf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Definición de erradicación y de éxito clínico, con su corrección documentada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S14_extraccion_adjudicada.csv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Extracción definitiva, un valor por casilla tras el consenso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S15_procedencia_de_cada_casilla.csv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 cada casilla la acordaron los dos, la firmó el consenso, o la leyó uno solo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00_GUIA_DEL_MATERIAL_SUPLEMENTARIO.pdf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Guía en lengua llana: qué pregunta contesta cada fichero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Orientación para el revisor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nueve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155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190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95 de 95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71 de 95 (74.7 %)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122 de 124 estudios (98 %)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Adjudicación de los desacuerdos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14 de 541 sin firmar; bloquea reportar desenlaces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Validación del cribado en Rayyan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0 falsos negativos en 350 registros recribados a ciegas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adjudicación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