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262; texto principal 7 856.</w:t>
      </w:r>
    </w:p>
    <w:p>
      <w:pPr>
        <w:jc w:val="both"/>
      </w:pPr>
      <w:r>
        <w:rPr>
          <w:rFonts w:ascii="Times New Roman" w:hAnsi="Times New Roman"/>
          <w:b w:val="0"/>
          <w:i/>
          <w:sz w:val="22"/>
        </w:rPr>
        <w:t>Tablas:</w:t>
      </w:r>
      <w:r>
        <w:rPr>
          <w:rFonts w:ascii="Times New Roman" w:hAnsi="Times New Roman"/>
          <w:b w:val="0"/>
          <w:i w:val="0"/>
          <w:sz w:val="22"/>
        </w:rPr>
        <w:t xml:space="preserve"> 6.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16 anexos (S0–S15)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Extracción manual por duplicado, con consenso: la estructura sale de una pre-extracción desde el resumen; los desenlaces, de la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únicos;233 informes formaron 183 estudios y, al leer los textos completos, </w:t>
      </w:r>
      <w:r>
        <w:rPr>
          <w:rFonts w:ascii="Times New Roman" w:hAnsi="Times New Roman"/>
          <w:b w:val="0"/>
          <w:i/>
          <w:sz w:val="22"/>
        </w:rPr>
        <w:t>47 salieron del corpus</w:t>
      </w:r>
      <w:r>
        <w:rPr>
          <w:rFonts w:ascii="Times New Roman" w:hAnsi="Times New Roman"/>
          <w:b w:val="0"/>
          <w:i w:val="0"/>
          <w:sz w:val="22"/>
        </w:rPr>
        <w:t xml:space="preserv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136</w:t>
      </w:r>
      <w:r>
        <w:rPr>
          <w:rFonts w:ascii="Times New Roman" w:hAnsi="Times New Roman"/>
          <w:b w:val="0"/>
          <w:i w:val="0"/>
          <w:sz w:val="22"/>
        </w:rPr>
        <w:t xml:space="preserve">, 94 con publicación recuperable. Casos únicos, 44,7 %; comparativos, 10,6 %; sin clase de resistencia asignable, 75,5 %. Se obtuvo el texto completo de 70 (74,5 %), y lo que falta concentra el 60,0 % de los comparativos; el criterio de idioma eliminó 35 estudios más. En 69 de los 102 brazos (67,6 %) no consta definición operativa del éxito clínico, y solo 2 reúnen diseño comparativo, numerador, denominador y definición. Descontado el que mide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usaron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val="0"/>
          <w:i/>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val="0"/>
          <w:i/>
          <w:sz w:val="22"/>
        </w:rPr>
        <w:t>por duplicado e independiente</w:t>
      </w:r>
      <w:r>
        <w:rPr>
          <w:rFonts w:ascii="Times New Roman" w:hAnsi="Times New Roman"/>
          <w:b w:val="0"/>
          <w:i w:val="0"/>
          <w:sz w:val="22"/>
        </w:rPr>
        <w:t xml:space="preserve"> entre los dos revisores. Un revisor extrajo los 124 estudios que entonces tenían publicación recuperable —94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pPr>
        <w:jc w:val="both"/>
      </w:pPr>
      <w:r>
        <w:rPr>
          <w:rFonts w:ascii="Times New Roman" w:hAnsi="Times New Roman"/>
          <w:b w:val="0"/>
          <w:i w:val="0"/>
          <w:sz w:val="22"/>
        </w:rPr>
        <w:t>La caracterización estructural del corpus (secciones 3.1 a 3.4, tablas 1 a 4) procede de una pre-extracción sistemática desde el resumen de los 94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 y solo en aquellos cuyo texto completo se obtuvo</w:t>
      </w:r>
      <w:r>
        <w:rPr>
          <w:rFonts w:ascii="Times New Roman" w:hAnsi="Times New Roman"/>
          <w:b w:val="0"/>
          <w:i w:val="0"/>
          <w:sz w:val="22"/>
        </w:rPr>
        <w:t>: 11 de los 14 que el diseño adjudicado sobre el artículo identifica como comparativos. Los ensayos aleatorizados con RoB 2 (10) y los no aleatorizados y las cohortes con ROBINS-I (11). El estudio restante es un ensayo aleatorizado sin texto completo: no se evalúa, y tampoco recibe un juicio desfavorable por esa razón.</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Los juicios se emiten por duplicado independiente y se resuelven por consenso.</w:t>
      </w:r>
      <w:r>
        <w:rPr>
          <w:rFonts w:ascii="Times New Roman" w:hAnsi="Times New Roman"/>
          <w:b w:val="0"/>
          <w:i w:val="0"/>
          <w:sz w:val="22"/>
        </w:rPr>
        <w:t xml:space="preserve"> Cada autor evalúa por separado, con el artículo delante, y los desacuerdos se discuten uno a uno hasta acordar un juicio. La concordancia previa al consenso se reporta en la sección 3.7, igual que la de la extracción de datos (sección 2.6). Un estudio, incorporado a la evaluación después de las demás, tiene una sola lectura y se declara como tal.</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102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82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los estudios cuyo texto completo no se consiguió salen del corpus.</w:t>
      </w:r>
      <w:r>
        <w:rPr>
          <w:rFonts w:ascii="Times New Roman" w:hAnsi="Times New Roman"/>
          <w:b w:val="0"/>
          <w:i w:val="0"/>
          <w:sz w:val="22"/>
        </w:rPr>
        <w:t xml:space="preserve"> Adoptada el 2 de septiembre de 2026, también con el cribado concluido.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no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1 estudio</w:t>
      </w:r>
      <w:r>
        <w:rPr>
          <w:rFonts w:ascii="Times New Roman" w:hAnsi="Times New Roman"/>
          <w:b w:val="0"/>
          <w:i w:val="0"/>
          <w:sz w:val="22"/>
        </w:rP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rFonts w:ascii="Times New Roman" w:hAnsi="Times New Roman"/>
          <w:b w:val="0"/>
          <w:i/>
          <w:sz w:val="22"/>
        </w:rPr>
        <w:t>aplicado a los 24 estudios que siguen sin texto completo, el corpus pasaría de 136 a 112 estudios, los comparativos de 10 a 4 y los ensayos aleatorizados de 7 a 3</w:t>
      </w:r>
      <w:r>
        <w:rPr>
          <w:rFonts w:ascii="Times New Roman" w:hAnsi="Times New Roman"/>
          <w:b w:val="0"/>
          <w:i w:val="0"/>
          <w:sz w:val="22"/>
        </w:rPr>
        <w:t xml:space="preserve">, y la tasa de recuperación de texto completo pasaría a ser del 100 % </w:t>
      </w:r>
      <w:r>
        <w:rPr>
          <w:rFonts w:ascii="Times New Roman" w:hAnsi="Times New Roman"/>
          <w:b w:val="0"/>
          <w:i/>
          <w:sz w:val="22"/>
        </w:rPr>
        <w:t>por construcción</w:t>
      </w:r>
      <w:r>
        <w:rPr>
          <w:rFonts w:ascii="Times New Roman" w:hAnsi="Times New Roman"/>
          <w:b w:val="0"/>
          <w:i w:val="0"/>
          <w:sz w:val="22"/>
        </w:rPr>
        <w:t>. Es decir, el sesgo de recuperación que la sección 3.2 mide dejaría de poder medirse, porque el criterio lo elimina por definición en lugar de resolverlo. Esta revisión no lo aplica de esa forma, y el lector debe saber que la cifra del 74,5 % convive con una exclusión que, generalizada, la volvería vacía.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Al leer sus textos completos durante la extracción se comprobó que </w:t>
      </w:r>
      <w:r>
        <w:rPr>
          <w:rFonts w:ascii="Times New Roman" w:hAnsi="Times New Roman"/>
          <w:b w:val="0"/>
          <w:i/>
          <w:sz w:val="22"/>
        </w:rPr>
        <w:t>47 de ellos salieron del corpus</w:t>
      </w:r>
      <w:r>
        <w:rPr>
          <w:rFonts w:ascii="Times New Roman" w:hAnsi="Times New Roman"/>
          <w:b w:val="0"/>
          <w:i w:val="0"/>
          <w:sz w:val="22"/>
        </w:rPr>
        <w:t xml:space="preserve">, y se excluyeron; el apartado siguiente los detalla. El cuerpo de evidencia queda en </w:t>
      </w:r>
      <w:r>
        <w:rPr>
          <w:rFonts w:ascii="Times New Roman" w:hAnsi="Times New Roman"/>
          <w:b w:val="0"/>
          <w:i/>
          <w:sz w:val="22"/>
        </w:rPr>
        <w:t>136 estudios</w:t>
      </w:r>
      <w:r>
        <w:rPr>
          <w:rFonts w:ascii="Times New Roman" w:hAnsi="Times New Roman"/>
          <w:b w:val="0"/>
          <w:i w:val="0"/>
          <w:sz w:val="22"/>
        </w:rPr>
        <w:t>, que agrupan 170 informes: 114 con un solo informe y 22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spacing w:before="200" w:after="100"/>
      </w:pPr>
      <w:r>
        <w:rPr>
          <w:rFonts w:ascii="Times New Roman" w:hAnsi="Times New Roman"/>
          <w:b/>
          <w:i w:val="0"/>
          <w:sz w:val="22"/>
        </w:rPr>
        <w:t>3.1.1 Los 47 estudios que el cribado admitió y que salieron después</w:t>
      </w:r>
    </w:p>
    <w:p>
      <w:pPr>
        <w:jc w:val="both"/>
      </w:pPr>
      <w:r>
        <w:rPr>
          <w:rFonts w:ascii="Times New Roman" w:hAnsi="Times New Roman"/>
          <w:b w:val="0"/>
          <w:i/>
          <w:sz w:val="22"/>
        </w:rPr>
        <w:t>Treinta salieron al juzgarlos sobre su publicación.</w:t>
      </w:r>
      <w:r>
        <w:rPr>
          <w:rFonts w:ascii="Times New Roman" w:hAnsi="Times New Roman"/>
          <w:b w:val="0"/>
          <w:i w:val="0"/>
          <w:sz w:val="22"/>
        </w:rPr>
        <w:t xml:space="preserve"> Se excluyeron por ocho motivos, y ninguno es una discrepancia de criterio: son estudios que no cumplen lo que la sección 2.2 ya exigía. </w:t>
      </w:r>
      <w:r>
        <w:rPr>
          <w:rFonts w:ascii="Times New Roman" w:hAnsi="Times New Roman"/>
          <w:b w:val="0"/>
          <w:i/>
          <w:sz w:val="22"/>
        </w:rPr>
        <w:t>Veinticinco</w:t>
      </w:r>
      <w:r>
        <w:rPr>
          <w:rFonts w:ascii="Times New Roman" w:hAnsi="Times New Roman"/>
          <w:b w:val="0"/>
          <w:i w:val="0"/>
          <w:sz w:val="22"/>
        </w:rPr>
        <w:t xml:space="preserve"> salieron de leer su artículo. </w:t>
      </w:r>
      <w:r>
        <w:rPr>
          <w:rFonts w:ascii="Times New Roman" w:hAnsi="Times New Roman"/>
          <w:b w:val="0"/>
          <w:i/>
          <w:sz w:val="22"/>
        </w:rPr>
        <w:t>Once</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o en la lista de referencias—; uno de ellos no nombra microorganismo alguno. </w:t>
      </w:r>
      <w:r>
        <w:rPr>
          <w:rFonts w:ascii="Times New Roman" w:hAnsi="Times New Roman"/>
          <w:b w:val="0"/>
          <w:i/>
          <w:sz w:val="22"/>
        </w:rPr>
        <w:t>Cinco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val="0"/>
          <w:sz w:val="22"/>
        </w:rPr>
        <w:t xml:space="preserve">Los </w:t>
      </w:r>
      <w:r>
        <w:rPr>
          <w:rFonts w:ascii="Times New Roman" w:hAnsi="Times New Roman"/>
          <w:b w:val="0"/>
          <w:i/>
          <w:sz w:val="22"/>
        </w:rPr>
        <w:t>cuatro restantes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eran </w:t>
      </w:r>
      <w:r>
        <w:rPr>
          <w:rFonts w:ascii="Times New Roman" w:hAnsi="Times New Roman"/>
          <w:b w:val="0"/>
          <w:i/>
          <w:sz w:val="22"/>
        </w:rPr>
        <w:t>29 de los 95 estudios extraíbles de entonces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23 son la otra cara de esa limitación, y son el </w:t>
      </w:r>
      <w:r>
        <w:rPr>
          <w:rFonts w:ascii="Times New Roman" w:hAnsi="Times New Roman"/>
          <w:b w:val="0"/>
          <w:i/>
          <w:sz w:val="22"/>
        </w:rPr>
        <w:t>24,7 %</w:t>
      </w:r>
      <w:r>
        <w:rPr>
          <w:rFonts w:ascii="Times New Roman" w:hAnsi="Times New Roman"/>
          <w:b w:val="0"/>
          <w:i w:val="0"/>
          <w:sz w:val="22"/>
        </w:rPr>
        <w:t xml:space="preserve"> de los 93 estudios cuyo texto completo se pudo leer. Es un suelo, no un total: los 31 estudios sin texto completo no se han podido comprobar contra nada.</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29 anteriores se juzgaron sobre el artículo; estos no tienen artículo.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se descargó la ficha completa de cada una de ClinicalTrials.gov y del registro europeo CTIS, y se leyeron una por una.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se quedan.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De los 136 estudios, </w:t>
      </w:r>
      <w:r>
        <w:rPr>
          <w:rFonts w:ascii="Times New Roman" w:hAnsi="Times New Roman"/>
          <w:b w:val="0"/>
          <w:i/>
          <w:sz w:val="22"/>
        </w:rPr>
        <w:t>94 tienen publicación recuperable</w:t>
      </w:r>
      <w:r>
        <w:rPr>
          <w:rFonts w:ascii="Times New Roman" w:hAnsi="Times New Roman"/>
          <w:b w:val="0"/>
          <w:i w:val="0"/>
          <w:sz w:val="22"/>
        </w:rPr>
        <w:t xml:space="preserve">: 91 artículos y 3 que solo existen como resumen de congreso. Los </w:t>
      </w:r>
      <w:r>
        <w:rPr>
          <w:rFonts w:ascii="Times New Roman" w:hAnsi="Times New Roman"/>
          <w:b w:val="0"/>
          <w:i/>
          <w:sz w:val="22"/>
        </w:rPr>
        <w:t>42 restantes son únicamente fichas de registro de ensayo</w:t>
      </w:r>
      <w:r>
        <w:rPr>
          <w:rFonts w:ascii="Times New Roman" w:hAnsi="Times New Roman"/>
          <w:b w:val="0"/>
          <w:i w:val="0"/>
          <w:sz w:val="22"/>
        </w:rPr>
        <w:t>, sin publicación asociada localizable. Esa cifra basta por sí sola para describir un campo en el que más de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Se obtuvo el texto completo de </w:t>
      </w:r>
      <w:r>
        <w:rPr>
          <w:rFonts w:ascii="Times New Roman" w:hAnsi="Times New Roman"/>
          <w:b w:val="0"/>
          <w:i/>
          <w:sz w:val="22"/>
        </w:rPr>
        <w:t>70 de los 94 estudios recuperables (74,5 %)</w:t>
      </w:r>
      <w:r>
        <w:rPr>
          <w:rFonts w:ascii="Times New Roman" w:hAnsi="Times New Roman"/>
          <w:b w:val="0"/>
          <w:i w:val="0"/>
          <w:sz w:val="22"/>
        </w:rPr>
        <w:t xml:space="preserve"> por vías de acceso abierto legítimas. Los 24 restantes siguen sin obtenerse. Su disponibilidad se recomprobó el 2 de septiembre de 2026 contra tres índices independientes —Europe PMC, OpenAlex y Semantic Scholar—, y </w:t>
      </w:r>
      <w:r>
        <w:rPr>
          <w:rFonts w:ascii="Times New Roman" w:hAnsi="Times New Roman"/>
          <w:b w:val="0"/>
          <w:i/>
          <w:sz w:val="22"/>
        </w:rPr>
        <w:t>ninguno de los 24 tiene hoy una copia de acceso abierto</w:t>
      </w:r>
      <w:r>
        <w:rPr>
          <w:rFonts w:ascii="Times New Roman" w:hAnsi="Times New Roman"/>
          <w:b w:val="0"/>
          <w:i w:val="0"/>
          <w:sz w:val="22"/>
        </w:rPr>
        <w:t>. No se solicitaron por préstamo interbibliotecario ni a los autores: el hueco documental que esta revisión declara no está mitigado por ninguna vía adicional, y esa es la razón por la que se reporta como límite y no como pendiente.</w:t>
      </w:r>
    </w:p>
    <w:p>
      <w:pPr>
        <w:jc w:val="both"/>
      </w:pPr>
      <w:r>
        <w:rPr>
          <w:rFonts w:ascii="Times New Roman" w:hAnsi="Times New Roman"/>
          <w:b w:val="0"/>
          <w:i w:val="0"/>
          <w:sz w:val="22"/>
        </w:rPr>
        <w:t xml:space="preserve">La fracción no obtenida </w:t>
      </w:r>
      <w:r>
        <w:rPr>
          <w:rFonts w:ascii="Times New Roman" w:hAnsi="Times New Roman"/>
          <w:b w:val="0"/>
          <w:i/>
          <w:sz w:val="22"/>
        </w:rPr>
        <w:t>no es una muestra aleatoria del conjunto</w:t>
      </w:r>
      <w:r>
        <w:rPr>
          <w:rFonts w:ascii="Times New Roman" w:hAnsi="Times New Roman"/>
          <w:b w:val="0"/>
          <w:i w:val="0"/>
          <w:sz w:val="22"/>
        </w:rPr>
        <w:t xml:space="preserve"> (Tabla 3). Contiene 6 de los 10 estudios comparativos, el </w:t>
      </w:r>
      <w:r>
        <w:rPr>
          <w:rFonts w:ascii="Times New Roman" w:hAnsi="Times New Roman"/>
          <w:b w:val="0"/>
          <w:i/>
          <w:sz w:val="22"/>
        </w:rPr>
        <w:t>60,0 %</w:t>
      </w:r>
      <w:r>
        <w:rPr>
          <w:rFonts w:ascii="Times New Roman" w:hAnsi="Times New Roman"/>
          <w:b w:val="0"/>
          <w:i w:val="0"/>
          <w:sz w:val="22"/>
        </w:rPr>
        <w:t>, y, aunque declara menos pacientes en total, concentra los diseños que sostienen una comparación. De los siete ensayos aleatorizados del corpus se leyeron tres a texto completo —PhagoBurn (17), BX004-A (18) y un ensayo de 2026 en unidad de cuidados intensivos—, y cuatro siguen sin leerse, entre ellos el de TP-102 (19). La fracción que falta contiene, por tanto, la mayoría de los ensayos aleatorizados identificados.</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95 estudios recuperables se publicaron entre </w:t>
      </w:r>
      <w:r>
        <w:rPr>
          <w:rFonts w:ascii="Times New Roman" w:hAnsi="Times New Roman"/>
          <w:b w:val="0"/>
          <w:i/>
          <w:sz w:val="22"/>
        </w:rPr>
        <w:t>2016 y 2026</w:t>
      </w:r>
      <w:r>
        <w:rPr>
          <w:rFonts w:ascii="Times New Roman" w:hAnsi="Times New Roman"/>
          <w:b w:val="0"/>
          <w:i w:val="0"/>
          <w:sz w:val="22"/>
        </w:rPr>
        <w:t xml:space="preserve">, y el </w:t>
      </w:r>
      <w:r>
        <w:rPr>
          <w:rFonts w:ascii="Times New Roman" w:hAnsi="Times New Roman"/>
          <w:b w:val="0"/>
          <w:i/>
          <w:sz w:val="22"/>
        </w:rPr>
        <w:t>80,0 %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42 reportes de caso único (44,7 %)</w:t>
      </w:r>
      <w:r>
        <w:rPr>
          <w:rFonts w:ascii="Times New Roman" w:hAnsi="Times New Roman"/>
          <w:b w:val="0"/>
          <w:i w:val="0"/>
          <w:sz w:val="22"/>
        </w:rPr>
        <w:t xml:space="preserve">, 18 series de casos, 13 cohortes prospectivas, 7 ensayos aleatorizados, 3 ensayos no aleatorizados y 3 cohortes retrospectivas. Otros 8 no declaran su diseño de forma reconocible en el resumen. Los comparativos suman </w:t>
      </w:r>
      <w:r>
        <w:rPr>
          <w:rFonts w:ascii="Times New Roman" w:hAnsi="Times New Roman"/>
          <w:b w:val="0"/>
          <w:i/>
          <w:sz w:val="22"/>
        </w:rPr>
        <w:t>10 estudios, el 10,6 %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75,5 %</w:t>
      </w:r>
      <w:r>
        <w:rPr>
          <w:rFonts w:ascii="Times New Roman" w:hAnsi="Times New Roman"/>
          <w:b w:val="0"/>
          <w:i w:val="0"/>
          <w:sz w:val="22"/>
        </w:rPr>
        <w:t xml:space="preserve"> de los estudios: el 61,7 % no la menciona en absoluto y un 13,8 %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52,1 %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38,3 %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97,9 %</w:t>
      </w:r>
      <w:r>
        <w:rPr>
          <w:rFonts w:ascii="Times New Roman" w:hAnsi="Times New Roman"/>
          <w:b w:val="0"/>
          <w:i w:val="0"/>
          <w:sz w:val="22"/>
        </w:rPr>
        <w:t>.</w:t>
      </w:r>
    </w:p>
    <w:p>
      <w:pPr>
        <w:jc w:val="both"/>
      </w:pPr>
      <w:r>
        <w:rPr>
          <w:rFonts w:ascii="Times New Roman" w:hAnsi="Times New Roman"/>
          <w:b w:val="0"/>
          <w:i w:val="0"/>
          <w:sz w:val="22"/>
        </w:rP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 Esa categoría no es solo descriptiva: es el criterio de población de la revisión. </w:t>
      </w:r>
      <w:r>
        <w:rPr>
          <w:rFonts w:ascii="Times New Roman" w:hAnsi="Times New Roman"/>
          <w:b w:val="0"/>
          <w:i/>
          <w:sz w:val="22"/>
        </w:rPr>
        <w:t>En 4 de los 102 brazos la clase declarada queda por debajo del umbral de multirresistencia</w:t>
      </w:r>
      <w:r>
        <w:rPr>
          <w:rFonts w:ascii="Times New Roman" w:hAnsi="Times New Roman"/>
          <w:b w:val="0"/>
          <w:i w:val="0"/>
          <w:sz w:val="22"/>
        </w:rPr>
        <w:t xml:space="preserve"> (EST-001 A, EST-003 B, EST-094 A, EST-108 A). 2 son estratos dentro de estudios que sí incluyen pacientes multirresistentes, y no comprometen la elegibilidad del estudio. Los otros 2 —EST-001 y EST-094— son estudios de un solo brazo, y su único paciente no es multirresistente según la codificación de los propios revisores. Los dos se mantienen en el corpus por decisión firmada de los dos autores el 22 de septiembre de 2026, y se declaran aquí para que el lector pueda descontarlos.</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102 brazos del corpus vigente.</w:t>
      </w:r>
    </w:p>
    <w:p>
      <w:pPr>
        <w:jc w:val="both"/>
      </w:pPr>
      <w:r>
        <w:rPr>
          <w:rFonts w:ascii="Times New Roman" w:hAnsi="Times New Roman"/>
          <w:b w:val="0"/>
          <w:i w:val="0"/>
          <w:sz w:val="22"/>
        </w:rPr>
        <w:t xml:space="preserve">La completitud es desigual y, en el mejor de los casos, parcial. Los eventos adversos son lo que más se reporta con denominador (78,4 % de los brazos) y la emergencia de resistencia al fago lo que menos (27,5 %), pese a ser el desenlace que decide si la intervención conserva su utilidad. Esos porcentajes se calculan sobre los 102 brazos, e incluyen por tanto 24 de estudios cuyo texto completo no se ha recuperado: de un artículo que no se ha podido leer no cabe afirmar que calle. Sobre los 78 brazos legibles las cifras suben —del 78,4 % al 89,7 % en eventos adversos, del 27,5 % al 35,9 % en resistencia—, y la tabla 5 da las dos columnas para que el lector distinga el silencio de la literatura del hueco documental de esta revisión. El éxito clínico, que es el que las síntesis publicadas agregan, consta con numerador y denominador en el 68,6 %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rFonts w:ascii="Times New Roman" w:hAnsi="Times New Roman"/>
          <w:b w:val="0"/>
          <w:i/>
          <w:sz w:val="22"/>
        </w:rPr>
        <w:t>hoy ningún brazo declara una proporción imposible</w:t>
      </w:r>
      <w:r>
        <w:rPr>
          <w:rFonts w:ascii="Times New Roman" w:hAnsi="Times New Roman"/>
          <w:b w:val="0"/>
          <w:i w:val="0"/>
          <w:sz w:val="22"/>
        </w:rP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pPr>
        <w:jc w:val="both"/>
      </w:pPr>
      <w:r>
        <w:rPr>
          <w:rFonts w:ascii="Times New Roman" w:hAnsi="Times New Roman"/>
          <w:b w:val="0"/>
          <w:i w:val="0"/>
          <w:sz w:val="22"/>
        </w:rPr>
        <w:t xml:space="preserve">Ese 68,6 % es, sin embargo, engañoso si se lee como disponibilidad para agregar. </w:t>
      </w:r>
      <w:r>
        <w:rPr>
          <w:rFonts w:ascii="Times New Roman" w:hAnsi="Times New Roman"/>
          <w:b w:val="0"/>
          <w:i/>
          <w:sz w:val="22"/>
        </w:rPr>
        <w:t>En 69 de los 102 brazos (67,6 %) no consta una definición operativa de éxito clínico</w:t>
      </w:r>
      <w:r>
        <w:rPr>
          <w:rFonts w:ascii="Times New Roman" w:hAnsi="Times New Roman"/>
          <w:b w:val="0"/>
          <w:i w:val="0"/>
          <w:sz w:val="22"/>
        </w:rPr>
        <w:t>; sobre los 78 brazos legibles, en 45 (57,7 %).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pPr>
        <w:jc w:val="both"/>
      </w:pPr>
      <w:r>
        <w:rPr>
          <w:rFonts w:ascii="Times New Roman" w:hAnsi="Times New Roman"/>
          <w:b w:val="0"/>
          <w:i w:val="0"/>
          <w:sz w:val="22"/>
        </w:rPr>
        <w:t xml:space="preserve">El diseño tampoco consta siempre: en 12 de los 102 brazos no puede clasificarse —12 en que los dos revisores acordaron «NA» y 7 que siguen abiertos—, de modo que los recuentos por diseño son suelos sobre los 84 restantes. De esos 90, </w:t>
      </w:r>
      <w:r>
        <w:rPr>
          <w:rFonts w:ascii="Times New Roman" w:hAnsi="Times New Roman"/>
          <w:b w:val="0"/>
          <w:i/>
          <w:sz w:val="22"/>
        </w:rPr>
        <w:t>7 brazos son ensayos</w:t>
      </w:r>
      <w:r>
        <w:rPr>
          <w:rFonts w:ascii="Times New Roman" w:hAnsi="Times New Roman"/>
          <w:b w:val="0"/>
          <w:i w:val="0"/>
          <w:sz w:val="22"/>
        </w:rPr>
        <w:t xml:space="preserve"> (aleatorizados o no) y </w:t>
      </w:r>
      <w:r>
        <w:rPr>
          <w:rFonts w:ascii="Times New Roman" w:hAnsi="Times New Roman"/>
          <w:b w:val="0"/>
          <w:i/>
          <w:sz w:val="22"/>
        </w:rPr>
        <w:t>10 son cohortes</w:t>
      </w:r>
      <w:r>
        <w:rPr>
          <w:rFonts w:ascii="Times New Roman" w:hAnsi="Times New Roman"/>
          <w:b w:val="0"/>
          <w:i w:val="0"/>
          <w:sz w:val="22"/>
        </w:rPr>
        <w:t>. La sección 3.3 y la tabla 1 llaman «comparativos» solo a los ensayos, y por eso allí la cifra es 11 estudios: cuando en esta sección se dice «comparativo» se incluyen también las cohortes, y son 17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102</w:t>
      </w:r>
      <w:r>
        <w:rPr>
          <w:rFonts w:ascii="Times New Roman" w:hAnsi="Times New Roman"/>
          <w:b w:val="0"/>
          <w:i w:val="0"/>
          <w:sz w:val="22"/>
        </w:rPr>
        <w:t>. Los dos siguientes son los criterios de elegibilidad que esta misma revisión declara en la sección 2.2, y ninguno de esos 3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rFonts w:ascii="Times New Roman" w:hAnsi="Times New Roman"/>
          <w:b w:val="0"/>
          <w:i/>
          <w:sz w:val="22"/>
        </w:rPr>
        <w:t>prevención</w:t>
      </w:r>
      <w:r>
        <w:rPr>
          <w:rFonts w:ascii="Times New Roman" w:hAnsi="Times New Roman"/>
          <w:b w:val="0"/>
          <w:i w:val="0"/>
          <w:sz w:val="22"/>
        </w:rPr>
        <w:t xml:space="preserve"> de neumonía asociada a ventilación, y su desenlace —ausencia de neumonía incidente— no mide lo mismo que la curación de una infección establecida. Queda 1.</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102 brazos de esta literatura, </w:t>
      </w:r>
      <w:r>
        <w:rPr>
          <w:rFonts w:ascii="Times New Roman" w:hAnsi="Times New Roman"/>
          <w:b w:val="0"/>
          <w:i/>
          <w:sz w:val="22"/>
        </w:rPr>
        <w:t>ninguno reúne a la vez las condiciones aritméticas y los criterios de elegibilidad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Dos de los ensayos aleatorizados de referencia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ya recuperados,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sesgo de recuperación documentado en la sección 3.2, que en el estado actual excluiría de la síntesis a dos tercios de los estudios comparativos.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3 estudios evaluados con RoB 2, el juicio global es de bajo riesgo en 1 y de algunas preocupaciones en 2. De los 8 estudios evaluados con ROBINS-I, el juicio global es sin información para juzgar en 1 y de riesgo grave en 7. El dominio que más juicios desfavorables concentra en ROBINS-I —alto riesgo en RoB 2; grave o crítico en ROBINS-I— es «sesgo por confusión», con 7 de 8. Los dos revisores evaluaron por separado 10 de los 11 estudios evaluables y coincidieron en 62 de los 74 juicios comparables (83,8 %; kappa de Cohen 0,78). Los 12 restantes se discutieron uno a uno y se resolvieron por consenso, los 12 en la misma dirección. El estudio restante se evaluó en un cuaderno aparte y tiene una sola lectura.</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EST-132</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EST-004</w:t>
            </w:r>
          </w:p>
        </w:tc>
        <w:tc>
          <w:tcPr>
            <w:tcW w:type="dxa" w:w="821"/>
          </w:tcPr>
          <w:p>
            <w:r/>
            <w:r>
              <w:rPr>
                <w:rFonts w:ascii="Times New Roman" w:hAnsi="Times New Roman"/>
                <w:b w:val="0"/>
                <w:i w:val="0"/>
                <w:sz w:val="18"/>
              </w:rPr>
              <w:t>prospective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EST-055</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136 estudios frente a las decenas que manejan las revisiones publicadas, y habrían sido 218 sin la restricción de idioma que se adoptó al final y sin los 47 que salieron después. Ese aumento no habla bien de la madurez del campo. La mayor parte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136 estudios sean fichas de registro sin publicación localizable es un problema de sesgo de publicación de primer orden, y no se resuelve con métodos estadísticos.</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seis y todas materiales. </w:t>
      </w:r>
      <w:r>
        <w:rPr>
          <w:rFonts w:ascii="Times New Roman" w:hAnsi="Times New Roman"/>
          <w:b w:val="0"/>
          <w:i/>
          <w:sz w:val="22"/>
        </w:rPr>
        <w:t>Primera:</w:t>
      </w:r>
      <w:r>
        <w:rPr>
          <w:rFonts w:ascii="Times New Roman" w:hAnsi="Times New Roman"/>
          <w:b w:val="0"/>
          <w:i w:val="0"/>
          <w:sz w:val="22"/>
        </w:rP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rFonts w:ascii="Times New Roman" w:hAnsi="Times New Roman"/>
          <w:b w:val="0"/>
          <w:i/>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la concordancia previa al consenso fue del 83,8 % (62 de 74 juicios; kappa de Cohen 0,78), con 12 desacuerdos resueltos todos en la misma dirección. </w:t>
      </w:r>
      <w:r>
        <w:rPr>
          <w:rFonts w:ascii="Times New Roman" w:hAnsi="Times New Roman"/>
          <w:b w:val="0"/>
          <w:i/>
          <w:sz w:val="22"/>
        </w:rPr>
        <w:t>Quinta:</w:t>
      </w:r>
      <w:r>
        <w:rPr>
          <w:rFonts w:ascii="Times New Roman" w:hAnsi="Times New Roman"/>
          <w:b w:val="0"/>
          <w:i w:val="0"/>
          <w:sz w:val="22"/>
        </w:rPr>
        <w:t xml:space="preserve"> el texto completo se obtuvo para el 74,5 % de los estudios recuperables, y la fracción faltante está enriquecida en diseños comparativos, de manera que lo descrito subrepresenta la parte comparativa del campo. </w:t>
      </w:r>
      <w:r>
        <w:rPr>
          <w:rFonts w:ascii="Times New Roman" w:hAnsi="Times New Roman"/>
          <w:b w:val="0"/>
          <w:i/>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rFonts w:ascii="Times New Roman" w:hAnsi="Times New Roman"/>
          <w:b w:val="0"/>
          <w:i/>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94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2016–2026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75</w:t>
            </w:r>
          </w:p>
        </w:tc>
        <w:tc>
          <w:tcPr>
            <w:tcW w:type="dxa" w:w="3009"/>
          </w:tcPr>
          <w:p>
            <w:r/>
            <w:r>
              <w:rPr>
                <w:rFonts w:ascii="Times New Roman" w:hAnsi="Times New Roman"/>
                <w:b w:val="0"/>
                <w:i w:val="0"/>
                <w:sz w:val="18"/>
              </w:rPr>
              <w:t>79.8</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42</w:t>
            </w:r>
          </w:p>
        </w:tc>
        <w:tc>
          <w:tcPr>
            <w:tcW w:type="dxa" w:w="3009"/>
          </w:tcPr>
          <w:p>
            <w:r/>
            <w:r>
              <w:rPr>
                <w:rFonts w:ascii="Times New Roman" w:hAnsi="Times New Roman"/>
                <w:b w:val="0"/>
                <w:i w:val="0"/>
                <w:sz w:val="18"/>
              </w:rPr>
              <w:t>44.7</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19.1</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13</w:t>
            </w:r>
          </w:p>
        </w:tc>
        <w:tc>
          <w:tcPr>
            <w:tcW w:type="dxa" w:w="3009"/>
          </w:tcPr>
          <w:p>
            <w:r/>
            <w:r>
              <w:rPr>
                <w:rFonts w:ascii="Times New Roman" w:hAnsi="Times New Roman"/>
                <w:b w:val="0"/>
                <w:i w:val="0"/>
                <w:sz w:val="18"/>
              </w:rPr>
              <w:t>13.8</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8</w:t>
            </w:r>
          </w:p>
        </w:tc>
        <w:tc>
          <w:tcPr>
            <w:tcW w:type="dxa" w:w="3009"/>
          </w:tcPr>
          <w:p>
            <w:r/>
            <w:r>
              <w:rPr>
                <w:rFonts w:ascii="Times New Roman" w:hAnsi="Times New Roman"/>
                <w:b w:val="0"/>
                <w:i w:val="0"/>
                <w:sz w:val="18"/>
              </w:rPr>
              <w:t>8.5</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Ensayo no aleatorizado</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10</w:t>
            </w:r>
          </w:p>
        </w:tc>
        <w:tc>
          <w:tcPr>
            <w:tcW w:type="dxa" w:w="3009"/>
          </w:tcPr>
          <w:p>
            <w:r/>
            <w:r>
              <w:rPr>
                <w:rFonts w:ascii="Times New Roman" w:hAnsi="Times New Roman"/>
                <w:b w:val="0"/>
                <w:i w:val="0"/>
                <w:sz w:val="18"/>
              </w:rPr>
              <w:t>10.6</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Alemania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Rusia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España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India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Israel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Otros 7 países, un estudio cada uno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57</w:t>
            </w:r>
          </w:p>
        </w:tc>
        <w:tc>
          <w:tcPr>
            <w:tcW w:type="dxa" w:w="3009"/>
          </w:tcPr>
          <w:p>
            <w:r/>
            <w:r>
              <w:rPr>
                <w:rFonts w:ascii="Times New Roman" w:hAnsi="Times New Roman"/>
                <w:b w:val="0"/>
                <w:i w:val="0"/>
                <w:sz w:val="18"/>
              </w:rPr>
              <w:t>60.6</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
              <w:rPr>
                <w:rFonts w:ascii="Times New Roman" w:hAnsi="Times New Roman"/>
                <w:b/>
                <w:i w:val="0"/>
                <w:sz w:val="18"/>
              </w:rPr>
              <w:t>Variable</w:t>
            </w:r>
          </w:p>
        </w:tc>
        <w:tc>
          <w:tcPr>
            <w:tcW w:type="dxa" w:w="1504"/>
          </w:tcPr>
          <w:p>
            <w:r/>
            <w:r>
              <w:rPr>
                <w:rFonts w:ascii="Times New Roman" w:hAnsi="Times New Roman"/>
                <w:b/>
                <w:i w:val="0"/>
                <w:sz w:val="18"/>
              </w:rPr>
              <w:t>No asignable en el resumen</w:t>
            </w:r>
          </w:p>
        </w:tc>
        <w:tc>
          <w:tcPr>
            <w:tcW w:type="dxa" w:w="1504"/>
          </w:tcPr>
          <w:p>
            <w:r/>
            <w:r>
              <w:rPr>
                <w:rFonts w:ascii="Times New Roman" w:hAnsi="Times New Roman"/>
                <w:b/>
                <w:i w:val="0"/>
                <w:sz w:val="18"/>
              </w:rPr>
              <w:t>Declarado en el texto completo</w:t>
            </w:r>
          </w:p>
        </w:tc>
        <w:tc>
          <w:tcPr>
            <w:tcW w:type="dxa" w:w="1504"/>
          </w:tcPr>
          <w:p>
            <w:r/>
            <w:r>
              <w:rPr>
                <w:rFonts w:ascii="Times New Roman" w:hAnsi="Times New Roman"/>
                <w:b/>
                <w:i w:val="0"/>
                <w:sz w:val="18"/>
              </w:rPr>
              <w:t>Declarado pero no clasificable</w:t>
            </w:r>
          </w:p>
        </w:tc>
        <w:tc>
          <w:tcPr>
            <w:tcW w:type="dxa" w:w="1504"/>
          </w:tcPr>
          <w:p>
            <w:r/>
            <w:r>
              <w:rPr>
                <w:rFonts w:ascii="Times New Roman" w:hAnsi="Times New Roman"/>
                <w:b/>
                <w:i w:val="0"/>
                <w:sz w:val="18"/>
              </w:rPr>
              <w:t>No declarado en el texto completo</w:t>
            </w:r>
          </w:p>
        </w:tc>
        <w:tc>
          <w:tcPr>
            <w:tcW w:type="dxa" w:w="1504"/>
          </w:tcPr>
          <w:p>
            <w:r/>
            <w:r>
              <w:rPr>
                <w:rFonts w:ascii="Times New Roman" w:hAnsi="Times New Roman"/>
                <w:b/>
                <w:i w:val="0"/>
                <w:sz w:val="18"/>
              </w:rPr>
              <w:t>Texto completo no recuperado</w:t>
            </w:r>
          </w:p>
        </w:tc>
      </w:tr>
      <w:tr>
        <w:tc>
          <w:tcPr>
            <w:tcW w:type="dxa" w:w="1504"/>
          </w:tcPr>
          <w:p>
            <w:r/>
            <w:r>
              <w:rPr>
                <w:rFonts w:ascii="Times New Roman" w:hAnsi="Times New Roman"/>
                <w:b w:val="0"/>
                <w:i w:val="0"/>
                <w:sz w:val="18"/>
              </w:rPr>
              <w:t>Clase de resistencia (MDR/XDR/PDR)</w:t>
            </w:r>
          </w:p>
        </w:tc>
        <w:tc>
          <w:tcPr>
            <w:tcW w:type="dxa" w:w="1504"/>
          </w:tcPr>
          <w:p>
            <w:r/>
            <w:r>
              <w:rPr>
                <w:rFonts w:ascii="Times New Roman" w:hAnsi="Times New Roman"/>
                <w:b w:val="0"/>
                <w:i w:val="0"/>
                <w:sz w:val="18"/>
              </w:rPr>
              <w:t>58 (61.7 %)</w:t>
            </w:r>
          </w:p>
        </w:tc>
        <w:tc>
          <w:tcPr>
            <w:tcW w:type="dxa" w:w="1504"/>
          </w:tcPr>
          <w:p>
            <w:r/>
            <w:r>
              <w:rPr>
                <w:rFonts w:ascii="Times New Roman" w:hAnsi="Times New Roman"/>
                <w:b w:val="0"/>
                <w:i w:val="0"/>
                <w:sz w:val="18"/>
              </w:rPr>
              <w:t>48</w:t>
            </w:r>
          </w:p>
        </w:tc>
        <w:tc>
          <w:tcPr>
            <w:tcW w:type="dxa" w:w="1504"/>
          </w:tcPr>
          <w:p>
            <w:r/>
            <w:r>
              <w:rPr>
                <w:rFonts w:ascii="Times New Roman" w:hAnsi="Times New Roman"/>
                <w:b w:val="0"/>
                <w:i w:val="0"/>
                <w:sz w:val="18"/>
              </w:rPr>
              <w:t>22</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504"/>
          </w:tcPr>
          <w:p>
            <w:r/>
            <w:r>
              <w:rPr>
                <w:rFonts w:ascii="Times New Roman" w:hAnsi="Times New Roman"/>
                <w:b w:val="0"/>
                <w:i w:val="0"/>
                <w:sz w:val="18"/>
              </w:rPr>
              <w:t>36 (38.3 %)</w:t>
            </w:r>
          </w:p>
        </w:tc>
        <w:tc>
          <w:tcPr>
            <w:tcW w:type="dxa" w:w="1504"/>
          </w:tcPr>
          <w:p>
            <w:r/>
            <w:r>
              <w:rPr>
                <w:rFonts w:ascii="Times New Roman" w:hAnsi="Times New Roman"/>
                <w:b w:val="0"/>
                <w:i w:val="0"/>
                <w:sz w:val="18"/>
              </w:rPr>
              <w:t>61</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9</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Vía de administración del fago</w:t>
            </w:r>
          </w:p>
        </w:tc>
        <w:tc>
          <w:tcPr>
            <w:tcW w:type="dxa" w:w="1504"/>
          </w:tcPr>
          <w:p>
            <w:r/>
            <w:r>
              <w:rPr>
                <w:rFonts w:ascii="Times New Roman" w:hAnsi="Times New Roman"/>
                <w:b w:val="0"/>
                <w:i w:val="0"/>
                <w:sz w:val="18"/>
              </w:rPr>
              <w:t>49 (52.1 %)</w:t>
            </w:r>
          </w:p>
        </w:tc>
        <w:tc>
          <w:tcPr>
            <w:tcW w:type="dxa" w:w="1504"/>
          </w:tcPr>
          <w:p>
            <w:r/>
            <w:r>
              <w:rPr>
                <w:rFonts w:ascii="Times New Roman" w:hAnsi="Times New Roman"/>
                <w:b w:val="0"/>
                <w:i w:val="0"/>
                <w:sz w:val="18"/>
              </w:rPr>
              <w:t>68</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Modalidad (monoterapia o combinada)</w:t>
            </w:r>
          </w:p>
        </w:tc>
        <w:tc>
          <w:tcPr>
            <w:tcW w:type="dxa" w:w="1504"/>
          </w:tcPr>
          <w:p>
            <w:r/>
            <w:r>
              <w:rPr>
                <w:rFonts w:ascii="Times New Roman" w:hAnsi="Times New Roman"/>
                <w:b w:val="0"/>
                <w:i w:val="0"/>
                <w:sz w:val="18"/>
              </w:rPr>
              <w:t>59 (62.8 %)</w:t>
            </w:r>
          </w:p>
        </w:tc>
        <w:tc>
          <w:tcPr>
            <w:tcW w:type="dxa" w:w="1504"/>
          </w:tcPr>
          <w:p>
            <w:r/>
            <w:r>
              <w:rPr>
                <w:rFonts w:ascii="Times New Roman" w:hAnsi="Times New Roman"/>
                <w:b w:val="0"/>
                <w:i w:val="0"/>
                <w:sz w:val="18"/>
              </w:rPr>
              <w:t>68</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504"/>
          </w:tcPr>
          <w:p>
            <w:r/>
            <w:r>
              <w:rPr>
                <w:rFonts w:ascii="Times New Roman" w:hAnsi="Times New Roman"/>
                <w:b w:val="0"/>
                <w:i w:val="0"/>
                <w:sz w:val="18"/>
              </w:rPr>
              <w:t>92 (97.9 %)</w:t>
            </w:r>
          </w:p>
        </w:tc>
        <w:tc>
          <w:tcPr>
            <w:tcW w:type="dxa" w:w="1504"/>
          </w:tcPr>
          <w:p>
            <w:r/>
            <w:r>
              <w:rPr>
                <w:rFonts w:ascii="Times New Roman" w:hAnsi="Times New Roman"/>
                <w:b w:val="0"/>
                <w:i w:val="0"/>
                <w:sz w:val="18"/>
              </w:rPr>
              <w:t>69</w:t>
            </w:r>
          </w:p>
        </w:tc>
        <w:tc>
          <w:tcPr>
            <w:tcW w:type="dxa" w:w="1504"/>
          </w:tcPr>
          <w:p>
            <w:r/>
            <w:r>
              <w:rPr>
                <w:rFonts w:ascii="Times New Roman" w:hAnsi="Times New Roman"/>
                <w:b w:val="0"/>
                <w:i w:val="0"/>
                <w:sz w:val="18"/>
              </w:rPr>
              <w:t>1</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24</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Comparación entre los estudios con y sin texto completo obtenido.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Con texto completo</w:t>
            </w:r>
          </w:p>
        </w:tc>
        <w:tc>
          <w:tcPr>
            <w:tcW w:type="dxa" w:w="3009"/>
          </w:tcPr>
          <w:p>
            <w:r/>
            <w:r>
              <w:rPr>
                <w:rFonts w:ascii="Times New Roman" w:hAnsi="Times New Roman"/>
                <w:b/>
                <w:i w:val="0"/>
                <w:sz w:val="18"/>
              </w:rPr>
              <w:t>Sin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70</w:t>
            </w:r>
          </w:p>
        </w:tc>
        <w:tc>
          <w:tcPr>
            <w:tcW w:type="dxa" w:w="3009"/>
          </w:tcPr>
          <w:p>
            <w:r/>
            <w:r>
              <w:rPr>
                <w:rFonts w:ascii="Times New Roman" w:hAnsi="Times New Roman"/>
                <w:b w:val="0"/>
                <w:i w:val="0"/>
                <w:sz w:val="18"/>
              </w:rPr>
              <w:t>24</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5.7</w:t>
            </w:r>
          </w:p>
        </w:tc>
        <w:tc>
          <w:tcPr>
            <w:tcW w:type="dxa" w:w="3009"/>
          </w:tcPr>
          <w:p>
            <w:r/>
            <w:r>
              <w:rPr>
                <w:rFonts w:ascii="Times New Roman" w:hAnsi="Times New Roman"/>
                <w:b w:val="0"/>
                <w:i w:val="0"/>
                <w:sz w:val="18"/>
              </w:rPr>
              <w:t>25.0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36</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666</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NOORG</w:t>
            </w:r>
          </w:p>
        </w:tc>
        <w:tc>
          <w:tcPr>
            <w:tcW w:type="dxa" w:w="1805"/>
          </w:tcPr>
          <w:p>
            <w:r/>
            <w:r>
              <w:rPr>
                <w:rFonts w:ascii="Times New Roman" w:hAnsi="Times New Roman"/>
                <w:b w:val="0"/>
                <w:i w:val="0"/>
                <w:sz w:val="18"/>
              </w:rPr>
              <w:t>La ficha de registro no declara ningun organismo: el criterio de P. aeruginosa no se puede verificar ni a favor ni en contra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102 brazos).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Desenlace</w:t>
            </w:r>
          </w:p>
        </w:tc>
        <w:tc>
          <w:tcPr>
            <w:tcW w:type="dxa" w:w="1805"/>
          </w:tcPr>
          <w:p>
            <w:r/>
            <w:r>
              <w:rPr>
                <w:rFonts w:ascii="Times New Roman" w:hAnsi="Times New Roman"/>
                <w:b/>
                <w:i w:val="0"/>
                <w:sz w:val="18"/>
              </w:rPr>
              <w:t>Con numerador y denominador</w:t>
            </w:r>
          </w:p>
        </w:tc>
        <w:tc>
          <w:tcPr>
            <w:tcW w:type="dxa" w:w="1805"/>
          </w:tcPr>
          <w:p>
            <w:r/>
            <w:r>
              <w:rPr>
                <w:rFonts w:ascii="Times New Roman" w:hAnsi="Times New Roman"/>
                <w:b/>
                <w:i w:val="0"/>
                <w:sz w:val="18"/>
              </w:rPr>
              <w:t>% de los 102 brazos</w:t>
            </w:r>
          </w:p>
        </w:tc>
        <w:tc>
          <w:tcPr>
            <w:tcW w:type="dxa" w:w="1805"/>
          </w:tcPr>
          <w:p>
            <w:r/>
            <w:r>
              <w:rPr>
                <w:rFonts w:ascii="Times New Roman" w:hAnsi="Times New Roman"/>
                <w:b/>
                <w:i w:val="0"/>
                <w:sz w:val="18"/>
              </w:rPr>
              <w:t>% de los 78 brazos legibles</w:t>
            </w:r>
          </w:p>
        </w:tc>
        <w:tc>
          <w:tcPr>
            <w:tcW w:type="dxa" w:w="1805"/>
          </w:tcPr>
          <w:p>
            <w:r/>
            <w:r>
              <w:rPr>
                <w:rFonts w:ascii="Times New Roman" w:hAnsi="Times New Roman"/>
                <w:b/>
                <w:i w:val="0"/>
                <w:sz w:val="18"/>
              </w:rPr>
              <w:t>% con doble lectura</w:t>
            </w:r>
          </w:p>
        </w:tc>
      </w:tr>
      <w:tr>
        <w:tc>
          <w:tcPr>
            <w:tcW w:type="dxa" w:w="1805"/>
          </w:tcPr>
          <w:p>
            <w:r/>
            <w:r>
              <w:rPr>
                <w:rFonts w:ascii="Times New Roman" w:hAnsi="Times New Roman"/>
                <w:b w:val="0"/>
                <w:i w:val="0"/>
                <w:sz w:val="18"/>
              </w:rPr>
              <w:t>Éxito clínico</w:t>
            </w:r>
          </w:p>
        </w:tc>
        <w:tc>
          <w:tcPr>
            <w:tcW w:type="dxa" w:w="1805"/>
          </w:tcPr>
          <w:p>
            <w:r/>
            <w:r>
              <w:rPr>
                <w:rFonts w:ascii="Times New Roman" w:hAnsi="Times New Roman"/>
                <w:b w:val="0"/>
                <w:i w:val="0"/>
                <w:sz w:val="18"/>
              </w:rPr>
              <w:t>70</w:t>
            </w:r>
          </w:p>
        </w:tc>
        <w:tc>
          <w:tcPr>
            <w:tcW w:type="dxa" w:w="1805"/>
          </w:tcPr>
          <w:p>
            <w:r/>
            <w:r>
              <w:rPr>
                <w:rFonts w:ascii="Times New Roman" w:hAnsi="Times New Roman"/>
                <w:b w:val="0"/>
                <w:i w:val="0"/>
                <w:sz w:val="18"/>
              </w:rPr>
              <w:t>68.6</w:t>
            </w:r>
          </w:p>
        </w:tc>
        <w:tc>
          <w:tcPr>
            <w:tcW w:type="dxa" w:w="1805"/>
          </w:tcPr>
          <w:p>
            <w:r/>
            <w:r>
              <w:rPr>
                <w:rFonts w:ascii="Times New Roman" w:hAnsi="Times New Roman"/>
                <w:b w:val="0"/>
                <w:i w:val="0"/>
                <w:sz w:val="18"/>
              </w:rPr>
              <w:t>87.2</w:t>
            </w:r>
          </w:p>
        </w:tc>
        <w:tc>
          <w:tcPr>
            <w:tcW w:type="dxa" w:w="1805"/>
          </w:tcPr>
          <w:p>
            <w:r/>
            <w:r>
              <w:rPr>
                <w:rFonts w:ascii="Times New Roman" w:hAnsi="Times New Roman"/>
                <w:b w:val="0"/>
                <w:i w:val="0"/>
                <w:sz w:val="18"/>
              </w:rPr>
              <w:t>97.1</w:t>
            </w:r>
          </w:p>
        </w:tc>
      </w:tr>
      <w:tr>
        <w:tc>
          <w:tcPr>
            <w:tcW w:type="dxa" w:w="1805"/>
          </w:tcPr>
          <w:p>
            <w:r/>
            <w:r>
              <w:rPr>
                <w:rFonts w:ascii="Times New Roman" w:hAnsi="Times New Roman"/>
                <w:b w:val="0"/>
                <w:i w:val="0"/>
                <w:sz w:val="18"/>
              </w:rPr>
              <w:t>Erradicación microbiológica</w:t>
            </w:r>
          </w:p>
        </w:tc>
        <w:tc>
          <w:tcPr>
            <w:tcW w:type="dxa" w:w="1805"/>
          </w:tcPr>
          <w:p>
            <w:r/>
            <w:r>
              <w:rPr>
                <w:rFonts w:ascii="Times New Roman" w:hAnsi="Times New Roman"/>
                <w:b w:val="0"/>
                <w:i w:val="0"/>
                <w:sz w:val="18"/>
              </w:rPr>
              <w:t>57</w:t>
            </w:r>
          </w:p>
        </w:tc>
        <w:tc>
          <w:tcPr>
            <w:tcW w:type="dxa" w:w="1805"/>
          </w:tcPr>
          <w:p>
            <w:r/>
            <w:r>
              <w:rPr>
                <w:rFonts w:ascii="Times New Roman" w:hAnsi="Times New Roman"/>
                <w:b w:val="0"/>
                <w:i w:val="0"/>
                <w:sz w:val="18"/>
              </w:rPr>
              <w:t>55.9</w:t>
            </w:r>
          </w:p>
        </w:tc>
        <w:tc>
          <w:tcPr>
            <w:tcW w:type="dxa" w:w="1805"/>
          </w:tcPr>
          <w:p>
            <w:r/>
            <w:r>
              <w:rPr>
                <w:rFonts w:ascii="Times New Roman" w:hAnsi="Times New Roman"/>
                <w:b w:val="0"/>
                <w:i w:val="0"/>
                <w:sz w:val="18"/>
              </w:rPr>
              <w:t>71.8</w:t>
            </w:r>
          </w:p>
        </w:tc>
        <w:tc>
          <w:tcPr>
            <w:tcW w:type="dxa" w:w="1805"/>
          </w:tcPr>
          <w:p>
            <w:r/>
            <w:r>
              <w:rPr>
                <w:rFonts w:ascii="Times New Roman" w:hAnsi="Times New Roman"/>
                <w:b w:val="0"/>
                <w:i w:val="0"/>
                <w:sz w:val="18"/>
              </w:rPr>
              <w:t>98.2</w:t>
            </w:r>
          </w:p>
        </w:tc>
      </w:tr>
      <w:tr>
        <w:tc>
          <w:tcPr>
            <w:tcW w:type="dxa" w:w="1805"/>
          </w:tcPr>
          <w:p>
            <w:r/>
            <w:r>
              <w:rPr>
                <w:rFonts w:ascii="Times New Roman" w:hAnsi="Times New Roman"/>
                <w:b w:val="0"/>
                <w:i w:val="0"/>
                <w:sz w:val="18"/>
              </w:rPr>
              <w:t>Mortalidad</w:t>
            </w:r>
          </w:p>
        </w:tc>
        <w:tc>
          <w:tcPr>
            <w:tcW w:type="dxa" w:w="1805"/>
          </w:tcPr>
          <w:p>
            <w:r/>
            <w:r>
              <w:rPr>
                <w:rFonts w:ascii="Times New Roman" w:hAnsi="Times New Roman"/>
                <w:b w:val="0"/>
                <w:i w:val="0"/>
                <w:sz w:val="18"/>
              </w:rPr>
              <w:t>75</w:t>
            </w:r>
          </w:p>
        </w:tc>
        <w:tc>
          <w:tcPr>
            <w:tcW w:type="dxa" w:w="1805"/>
          </w:tcPr>
          <w:p>
            <w:r/>
            <w:r>
              <w:rPr>
                <w:rFonts w:ascii="Times New Roman" w:hAnsi="Times New Roman"/>
                <w:b w:val="0"/>
                <w:i w:val="0"/>
                <w:sz w:val="18"/>
              </w:rPr>
              <w:t>73.5</w:t>
            </w:r>
          </w:p>
        </w:tc>
        <w:tc>
          <w:tcPr>
            <w:tcW w:type="dxa" w:w="1805"/>
          </w:tcPr>
          <w:p>
            <w:r/>
            <w:r>
              <w:rPr>
                <w:rFonts w:ascii="Times New Roman" w:hAnsi="Times New Roman"/>
                <w:b w:val="0"/>
                <w:i w:val="0"/>
                <w:sz w:val="18"/>
              </w:rPr>
              <w:t>91.0</w:t>
            </w:r>
          </w:p>
        </w:tc>
        <w:tc>
          <w:tcPr>
            <w:tcW w:type="dxa" w:w="1805"/>
          </w:tcPr>
          <w:p>
            <w:r/>
            <w:r>
              <w:rPr>
                <w:rFonts w:ascii="Times New Roman" w:hAnsi="Times New Roman"/>
                <w:b w:val="0"/>
                <w:i w:val="0"/>
                <w:sz w:val="18"/>
              </w:rPr>
              <w:t>96.0</w:t>
            </w:r>
          </w:p>
        </w:tc>
      </w:tr>
      <w:tr>
        <w:tc>
          <w:tcPr>
            <w:tcW w:type="dxa" w:w="1805"/>
          </w:tcPr>
          <w:p>
            <w:r/>
            <w:r>
              <w:rPr>
                <w:rFonts w:ascii="Times New Roman" w:hAnsi="Times New Roman"/>
                <w:b w:val="0"/>
                <w:i w:val="0"/>
                <w:sz w:val="18"/>
              </w:rPr>
              <w:t>Eventos adversos</w:t>
            </w:r>
          </w:p>
        </w:tc>
        <w:tc>
          <w:tcPr>
            <w:tcW w:type="dxa" w:w="1805"/>
          </w:tcPr>
          <w:p>
            <w:r/>
            <w:r>
              <w:rPr>
                <w:rFonts w:ascii="Times New Roman" w:hAnsi="Times New Roman"/>
                <w:b w:val="0"/>
                <w:i w:val="0"/>
                <w:sz w:val="18"/>
              </w:rPr>
              <w:t>80</w:t>
            </w:r>
          </w:p>
        </w:tc>
        <w:tc>
          <w:tcPr>
            <w:tcW w:type="dxa" w:w="1805"/>
          </w:tcPr>
          <w:p>
            <w:r/>
            <w:r>
              <w:rPr>
                <w:rFonts w:ascii="Times New Roman" w:hAnsi="Times New Roman"/>
                <w:b w:val="0"/>
                <w:i w:val="0"/>
                <w:sz w:val="18"/>
              </w:rPr>
              <w:t>78.4</w:t>
            </w:r>
          </w:p>
        </w:tc>
        <w:tc>
          <w:tcPr>
            <w:tcW w:type="dxa" w:w="1805"/>
          </w:tcPr>
          <w:p>
            <w:r/>
            <w:r>
              <w:rPr>
                <w:rFonts w:ascii="Times New Roman" w:hAnsi="Times New Roman"/>
                <w:b w:val="0"/>
                <w:i w:val="0"/>
                <w:sz w:val="18"/>
              </w:rPr>
              <w:t>89.7</w:t>
            </w:r>
          </w:p>
        </w:tc>
        <w:tc>
          <w:tcPr>
            <w:tcW w:type="dxa" w:w="1805"/>
          </w:tcPr>
          <w:p>
            <w:r/>
            <w:r>
              <w:rPr>
                <w:rFonts w:ascii="Times New Roman" w:hAnsi="Times New Roman"/>
                <w:b w:val="0"/>
                <w:i w:val="0"/>
                <w:sz w:val="18"/>
              </w:rPr>
              <w:t>98.8</w:t>
            </w:r>
          </w:p>
        </w:tc>
      </w:tr>
      <w:tr>
        <w:tc>
          <w:tcPr>
            <w:tcW w:type="dxa" w:w="1805"/>
          </w:tcPr>
          <w:p>
            <w:r/>
            <w:r>
              <w:rPr>
                <w:rFonts w:ascii="Times New Roman" w:hAnsi="Times New Roman"/>
                <w:b w:val="0"/>
                <w:i w:val="0"/>
                <w:sz w:val="18"/>
              </w:rPr>
              <w:t>Emergencia de resistencia al fago</w:t>
            </w:r>
          </w:p>
        </w:tc>
        <w:tc>
          <w:tcPr>
            <w:tcW w:type="dxa" w:w="1805"/>
          </w:tcPr>
          <w:p>
            <w:r/>
            <w:r>
              <w:rPr>
                <w:rFonts w:ascii="Times New Roman" w:hAnsi="Times New Roman"/>
                <w:b w:val="0"/>
                <w:i w:val="0"/>
                <w:sz w:val="18"/>
              </w:rPr>
              <w:t>28</w:t>
            </w:r>
          </w:p>
        </w:tc>
        <w:tc>
          <w:tcPr>
            <w:tcW w:type="dxa" w:w="1805"/>
          </w:tcPr>
          <w:p>
            <w:r/>
            <w:r>
              <w:rPr>
                <w:rFonts w:ascii="Times New Roman" w:hAnsi="Times New Roman"/>
                <w:b w:val="0"/>
                <w:i w:val="0"/>
                <w:sz w:val="18"/>
              </w:rPr>
              <w:t>27.5</w:t>
            </w:r>
          </w:p>
        </w:tc>
        <w:tc>
          <w:tcPr>
            <w:tcW w:type="dxa" w:w="1805"/>
          </w:tcPr>
          <w:p>
            <w:r/>
            <w:r>
              <w:rPr>
                <w:rFonts w:ascii="Times New Roman" w:hAnsi="Times New Roman"/>
                <w:b w:val="0"/>
                <w:i w:val="0"/>
                <w:sz w:val="18"/>
              </w:rPr>
              <w:t>35.9</w:t>
            </w:r>
          </w:p>
        </w:tc>
        <w:tc>
          <w:tcPr>
            <w:tcW w:type="dxa" w:w="1805"/>
          </w:tcPr>
          <w:p>
            <w:r/>
            <w:r>
              <w:rPr>
                <w:rFonts w:ascii="Times New Roman" w:hAnsi="Times New Roman"/>
                <w:b w:val="0"/>
                <w:i w:val="0"/>
                <w:sz w:val="18"/>
              </w:rPr>
              <w:t>57.1</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102 brazos).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Requisito acumulado</w:t>
            </w:r>
          </w:p>
        </w:tc>
        <w:tc>
          <w:tcPr>
            <w:tcW w:type="dxa" w:w="3009"/>
          </w:tcPr>
          <w:p>
            <w:r/>
            <w:r>
              <w:rPr>
                <w:rFonts w:ascii="Times New Roman" w:hAnsi="Times New Roman"/>
                <w:b/>
                <w:i w:val="0"/>
                <w:sz w:val="18"/>
              </w:rPr>
              <w:t>Efecto comparativo: brazos que quedan</w:t>
            </w:r>
          </w:p>
        </w:tc>
        <w:tc>
          <w:tcPr>
            <w:tcW w:type="dxa" w:w="3009"/>
          </w:tcPr>
          <w:p>
            <w:r/>
            <w:r>
              <w:rPr>
                <w:rFonts w:ascii="Times New Roman" w:hAnsi="Times New Roman"/>
                <w:b/>
                <w:i w:val="0"/>
                <w:sz w:val="18"/>
              </w:rPr>
              <w:t>Proporción descriptiva: brazos que quedan</w:t>
            </w:r>
          </w:p>
        </w:tc>
      </w:tr>
      <w:tr>
        <w:tc>
          <w:tcPr>
            <w:tcW w:type="dxa" w:w="3009"/>
          </w:tcPr>
          <w:p>
            <w:r/>
            <w:r>
              <w:rPr>
                <w:rFonts w:ascii="Times New Roman" w:hAnsi="Times New Roman"/>
                <w:b w:val="0"/>
                <w:i w:val="0"/>
                <w:sz w:val="18"/>
              </w:rPr>
              <w:t>Brazos extraídos</w:t>
            </w:r>
          </w:p>
        </w:tc>
        <w:tc>
          <w:tcPr>
            <w:tcW w:type="dxa" w:w="3009"/>
          </w:tcPr>
          <w:p>
            <w:r/>
            <w:r>
              <w:rPr>
                <w:rFonts w:ascii="Times New Roman" w:hAnsi="Times New Roman"/>
                <w:b w:val="0"/>
                <w:i w:val="0"/>
                <w:sz w:val="18"/>
              </w:rPr>
              <w:t>102</w:t>
            </w:r>
          </w:p>
        </w:tc>
        <w:tc>
          <w:tcPr>
            <w:tcW w:type="dxa" w:w="3009"/>
          </w:tcPr>
          <w:p>
            <w:r/>
            <w:r>
              <w:rPr>
                <w:rFonts w:ascii="Times New Roman" w:hAnsi="Times New Roman"/>
                <w:b w:val="0"/>
                <w:i w:val="0"/>
                <w:sz w:val="18"/>
              </w:rPr>
              <w:t>102 (94 estudios)</w:t>
            </w:r>
          </w:p>
        </w:tc>
      </w:tr>
      <w:tr>
        <w:tc>
          <w:tcPr>
            <w:tcW w:type="dxa" w:w="3009"/>
          </w:tcPr>
          <w:p>
            <w:r/>
            <w:r>
              <w:rPr>
                <w:rFonts w:ascii="Times New Roman" w:hAnsi="Times New Roman"/>
                <w:b w:val="0"/>
                <w:i w:val="0"/>
                <w:sz w:val="18"/>
              </w:rPr>
              <w:t>Diseño comparativo</w:t>
            </w:r>
          </w:p>
        </w:tc>
        <w:tc>
          <w:tcPr>
            <w:tcW w:type="dxa" w:w="3009"/>
          </w:tcPr>
          <w:p>
            <w:r/>
            <w:r>
              <w:rPr>
                <w:rFonts w:ascii="Times New Roman" w:hAnsi="Times New Roman"/>
                <w:b w:val="0"/>
                <w:i w:val="0"/>
                <w:sz w:val="18"/>
              </w:rPr>
              <w:t>17</w:t>
            </w:r>
          </w:p>
        </w:tc>
        <w:tc>
          <w:tcPr>
            <w:tcW w:type="dxa" w:w="3009"/>
          </w:tcPr>
          <w:p>
            <w:r/>
            <w:r>
              <w:rPr>
                <w:rFonts w:ascii="Times New Roman" w:hAnsi="Times New Roman"/>
                <w:b w:val="0"/>
                <w:i w:val="0"/>
                <w:sz w:val="18"/>
              </w:rPr>
              <w:t>no se aplica</w:t>
            </w:r>
          </w:p>
        </w:tc>
      </w:tr>
      <w:tr>
        <w:tc>
          <w:tcPr>
            <w:tcW w:type="dxa" w:w="3009"/>
          </w:tcPr>
          <w:p>
            <w:r/>
            <w:r>
              <w:rPr>
                <w:rFonts w:ascii="Times New Roman" w:hAnsi="Times New Roman"/>
                <w:b w:val="0"/>
                <w:i w:val="0"/>
                <w:sz w:val="18"/>
              </w:rPr>
              <w:t>Numerador y denominador coherentes</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70 (66 estudios)</w:t>
            </w:r>
          </w:p>
        </w:tc>
      </w:tr>
      <w:tr>
        <w:tc>
          <w:tcPr>
            <w:tcW w:type="dxa" w:w="3009"/>
          </w:tcPr>
          <w:p>
            <w:r/>
            <w:r>
              <w:rPr>
                <w:rFonts w:ascii="Times New Roman" w:hAnsi="Times New Roman"/>
                <w:b w:val="0"/>
                <w:i w:val="0"/>
                <w:sz w:val="18"/>
              </w:rPr>
              <w:t>Definición operativa del éxito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26 (23 estudios)</w:t>
            </w:r>
          </w:p>
        </w:tc>
      </w:tr>
      <w:tr>
        <w:tc>
          <w:tcPr>
            <w:tcW w:type="dxa" w:w="3009"/>
          </w:tcPr>
          <w:p>
            <w:r/>
            <w:r>
              <w:rPr>
                <w:rFonts w:ascii="Times New Roman" w:hAnsi="Times New Roman"/>
                <w:b w:val="0"/>
                <w:i w:val="0"/>
                <w:sz w:val="18"/>
              </w:rPr>
              <w:t>Desenlace atribuible a P. aeruginosa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22 (19 estudios)</w:t>
            </w:r>
          </w:p>
        </w:tc>
      </w:tr>
      <w:tr>
        <w:tc>
          <w:tcPr>
            <w:tcW w:type="dxa" w:w="3009"/>
          </w:tcPr>
          <w:p>
            <w:r/>
            <w:r>
              <w:rPr>
                <w:rFonts w:ascii="Times New Roman" w:hAnsi="Times New Roman"/>
                <w:b w:val="0"/>
                <w:i w:val="0"/>
                <w:sz w:val="18"/>
              </w:rPr>
              <w:t>Administración terapéutica, no profiláctica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22 (19 estudios)</w:t>
            </w:r>
          </w:p>
        </w:tc>
      </w:tr>
      <w:tr>
        <w:tc>
          <w:tcPr>
            <w:tcW w:type="dxa" w:w="3009"/>
          </w:tcPr>
          <w:p>
            <w:r/>
            <w:r>
              <w:rPr>
                <w:rFonts w:ascii="Times New Roman" w:hAnsi="Times New Roman"/>
                <w:b w:val="0"/>
                <w:i w:val="0"/>
                <w:sz w:val="18"/>
              </w:rPr>
              <w:t>Reporta una proporción, no un tiempo</w:t>
            </w:r>
          </w:p>
        </w:tc>
        <w:tc>
          <w:tcPr>
            <w:tcW w:type="dxa" w:w="3009"/>
          </w:tcPr>
          <w:p>
            <w:r/>
            <w:r>
              <w:rPr>
                <w:rFonts w:ascii="Times New Roman" w:hAnsi="Times New Roman"/>
                <w:b w:val="0"/>
                <w:i w:val="0"/>
                <w:sz w:val="18"/>
              </w:rPr>
              <w:t>0</w:t>
            </w:r>
          </w:p>
        </w:tc>
        <w:tc>
          <w:tcPr>
            <w:tcW w:type="dxa" w:w="3009"/>
          </w:tcPr>
          <w:p>
            <w:r/>
            <w:r>
              <w:rPr>
                <w:rFonts w:ascii="Times New Roman" w:hAnsi="Times New Roman"/>
                <w:b w:val="0"/>
                <w:i w:val="0"/>
                <w:sz w:val="18"/>
              </w:rPr>
              <w:t>21 (18 estudios)</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548501"/>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548501"/>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val="0"/>
          <w:i/>
          <w:sz w:val="18"/>
        </w:rPr>
        <w:t>Figura 2. Composición del cuerpo de evidencia recuperable (n = 94 estudios).</w:t>
      </w:r>
    </w:p>
    <w:p>
      <w:pPr>
        <w:jc w:val="center"/>
      </w:pPr>
      <w:r>
        <w:drawing>
          <wp:inline xmlns:a="http://schemas.openxmlformats.org/drawingml/2006/main" xmlns:pic="http://schemas.openxmlformats.org/drawingml/2006/picture">
            <wp:extent cx="5120640" cy="2343750"/>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375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94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cuándo.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de los 94 estudios con publicación recuperable,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136 estudios con su situación y sus informes agrupados, y de los 47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S16.</w:t>
      </w:r>
      <w:r>
        <w:rPr>
          <w:rFonts w:ascii="Times New Roman" w:hAnsi="Times New Roman"/>
          <w:b w:val="0"/>
          <w:i w:val="0"/>
          <w:sz w:val="22"/>
        </w:rPr>
        <w:t xml:space="preserve"> Los 47 estudios que el cribado admitió y el texto completo desmintió, con su código de motivo y la frase del artículo que lo sostiene.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S17.</w:t>
      </w:r>
      <w:r>
        <w:rPr>
          <w:rFonts w:ascii="Times New Roman" w:hAnsi="Times New Roman"/>
          <w:b w:val="0"/>
          <w:i w:val="0"/>
          <w:sz w:val="22"/>
        </w:rPr>
        <w:t xml:space="preserve"> La Tabla 6 desglosada: los siete requisitos, brazo a brazo sobre los 102 brazos, con el primero que falla y por qué.</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w:t>
      </w:r>
      <w:r>
        <w:rPr>
          <w:rFonts w:ascii="Times New Roman" w:hAnsi="Times New Roman"/>
          <w:b w:val="0"/>
          <w:i w:val="0"/>
          <w:sz w:val="22"/>
        </w:rPr>
        <w:t xml:space="preserve"> Los 82 juicios de riesgo de sesgo, uno por fila, con la frase firmada en que se apoya cada uno.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S18b.</w:t>
      </w:r>
      <w:r>
        <w:rPr>
          <w:rFonts w:ascii="Times New Roman" w:hAnsi="Times New Roman"/>
          <w:b w:val="0"/>
          <w:i w:val="0"/>
          <w:sz w:val="22"/>
        </w:rPr>
        <w:t xml:space="preserve"> Las frases del artículo cosechadas por tema, que acompañan pero no sustituyen a la firmada.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S19.</w:t>
      </w:r>
      <w:r>
        <w:rPr>
          <w:rFonts w:ascii="Times New Roman" w:hAnsi="Times New Roman"/>
          <w:b w:val="0"/>
          <w:i w:val="0"/>
          <w:sz w:val="22"/>
        </w:rPr>
        <w:t xml:space="preserve"> Qué modelo emitió las decisiones de cribado, cuándo, sobre qué ficheros, qué verificaron los autores y qué NO quedó registrado, marcado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S20.</w:t>
      </w:r>
      <w:r>
        <w:rPr>
          <w:rFonts w:ascii="Times New Roman" w:hAnsi="Times New Roman"/>
          <w:b w:val="0"/>
          <w:i w:val="0"/>
          <w:sz w:val="22"/>
        </w:rPr>
        <w:t xml:space="preserve"> De qué informe salió cada uno de los 102 brazos, y con qué prueba se estableció el vínculo.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S21.</w:t>
      </w:r>
      <w:r>
        <w:rPr>
          <w:rFonts w:ascii="Times New Roman" w:hAnsi="Times New Roman"/>
          <w:b w:val="0"/>
          <w:i w:val="0"/>
          <w:sz w:val="22"/>
        </w:rPr>
        <w:t xml:space="preserve"> Los pares de estudios que pueden describir a los mismos pacientes, con la señal que los marcó y la frase literal.</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S22.</w:t>
      </w:r>
      <w:r>
        <w:rPr>
          <w:rFonts w:ascii="Times New Roman" w:hAnsi="Times New Roman"/>
          <w:b w:val="0"/>
          <w:i w:val="0"/>
          <w:sz w:val="22"/>
        </w:rPr>
        <w:t xml:space="preserve"> Para cada variable de estratificación, cuántos estudios la declaran en el texto completo, cuántos la mencionan sin poder clasificarla, cuántos callan y de cuántos no hay texto.</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