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Resumen estructurado</w:t>
      </w:r>
    </w:p>
    <w:p>
      <w:pPr>
        <w:jc w:val="both"/>
      </w:pPr>
      <w:r>
        <w:rPr>
          <w:rFonts w:ascii="Times New Roman" w:hAnsi="Times New Roman"/>
          <w:b w:val="0"/>
          <w:i w:val="0"/>
          <w:sz w:val="22"/>
        </w:rPr>
        <w:t>Normas de la revista comprobadas aquí: resumen de 250 palabras como máximo —contadas como las cuenta Word, etiquetas y signos «%» incluidos—, entre 3 y 5 palabras clave, en los dos idiomas.</w:t>
      </w:r>
    </w:p>
    <w:p>
      <w:pPr>
        <w:spacing w:before="280" w:after="40"/>
      </w:pPr>
      <w:r>
        <w:rPr>
          <w:rFonts w:ascii="Times New Roman" w:hAnsi="Times New Roman"/>
          <w:b/>
          <w:i w:val="0"/>
          <w:sz w:val="24"/>
        </w:rPr>
        <w:t>Resumen estructurado (español) — 257 palabras</w:t>
      </w:r>
    </w:p>
    <w:p>
      <w:pPr>
        <w:spacing w:after="140" w:line="240" w:lineRule="auto"/>
      </w:pPr>
      <w:r>
        <w:rPr>
          <w:rFonts w:ascii="Times New Roman" w:hAnsi="Times New Roman"/>
          <w:i/>
          <w:color w:val="555555"/>
          <w:sz w:val="18"/>
        </w:rPr>
        <w:t>No se envía. Versión por etiquetas, de referencia.</w:t>
      </w:r>
    </w:p>
    <w:p>
      <w:pPr>
        <w:jc w:val="both"/>
      </w:pPr>
      <w:r>
        <w:rPr>
          <w:rFonts w:ascii="Times New Roman" w:hAnsi="Times New Roman"/>
          <w:b w:val="0"/>
          <w:i/>
          <w:sz w:val="22"/>
        </w:rPr>
        <w:t>Introducción.</w:t>
      </w:r>
      <w:r>
        <w:rPr>
          <w:rFonts w:ascii="Times New Roman" w:hAnsi="Times New Roman"/>
          <w:b w:val="0"/>
          <w:i w:val="0"/>
          <w:sz w:val="22"/>
        </w:rPr>
        <w:t xml:space="preserve"> Varias síntesis recientes agregan los desenlaces de la fagoterapia en </w:t>
      </w:r>
      <w:r>
        <w:rPr>
          <w:rFonts w:ascii="Times New Roman" w:hAnsi="Times New Roman"/>
          <w:b w:val="0"/>
          <w:i/>
          <w:sz w:val="22"/>
        </w:rPr>
        <w:t>Pseudomonas aeruginosa</w:t>
      </w:r>
      <w:r>
        <w:rPr>
          <w:rFonts w:ascii="Times New Roman" w:hAnsi="Times New Roman"/>
          <w:b w:val="0"/>
          <w:i w:val="0"/>
          <w:sz w:val="22"/>
        </w:rPr>
        <w:t xml:space="preserve"> resistente en proporciones globales de éxito, sin examinar su agregabilidad.</w:t>
      </w:r>
    </w:p>
    <w:p>
      <w:pPr>
        <w:jc w:val="both"/>
      </w:pPr>
      <w:r>
        <w:rPr>
          <w:rFonts w:ascii="Times New Roman" w:hAnsi="Times New Roman"/>
          <w:b w:val="0"/>
          <w:i/>
          <w:sz w:val="22"/>
        </w:rPr>
        <w:t>Objetivo.</w:t>
      </w:r>
      <w:r>
        <w:rPr>
          <w:rFonts w:ascii="Times New Roman" w:hAnsi="Times New Roman"/>
          <w:b w:val="0"/>
          <w:i w:val="0"/>
          <w:sz w:val="22"/>
        </w:rPr>
        <w:t xml:space="preserve"> Delimitar la evidencia clínica disponible y determinar si su estructura y reporte admiten una síntesis cuantitativa de eficacia.</w:t>
      </w:r>
    </w:p>
    <w:p>
      <w:pPr>
        <w:jc w:val="both"/>
      </w:pPr>
      <w:r>
        <w:rPr>
          <w:rFonts w:ascii="Times New Roman" w:hAnsi="Times New Roman"/>
          <w:b w:val="0"/>
          <w:i/>
          <w:sz w:val="22"/>
        </w:rPr>
        <w:t>Metodología.</w:t>
      </w:r>
      <w:r>
        <w:rPr>
          <w:rFonts w:ascii="Times New Roman" w:hAnsi="Times New Roman"/>
          <w:b w:val="0"/>
          <w:i w:val="0"/>
          <w:sz w:val="22"/>
        </w:rPr>
        <w:t xml:space="preserve"> Revisión sistemática conforme a PRISMA 2020, en dos corrientes: bases bibliográficas y registros de ensayos. Ocho fuentes, con ventana 2016-2026 donde la interfaz la admite. La unidad de inclusión fue el estudio, con artículo completo (criterio añadido tras la extracción). Extracción por duplicado, sin independencia acreditada; 539 de 541 desacuerdos adjudicados. El riesgo de sesgo se evaluó por consenso en los 9 comparativos (RoB 2, ROBINS-I), tampoco con independencia acreditada; sin GRADE.</w:t>
      </w:r>
    </w:p>
    <w:p>
      <w:pPr>
        <w:jc w:val="both"/>
      </w:pPr>
      <w:r>
        <w:rPr>
          <w:rFonts w:ascii="Times New Roman" w:hAnsi="Times New Roman"/>
          <w:b w:val="0"/>
          <w:i/>
          <w:sz w:val="22"/>
        </w:rPr>
        <w:t>Resultados.</w:t>
      </w:r>
      <w:r>
        <w:rPr>
          <w:rFonts w:ascii="Times New Roman" w:hAnsi="Times New Roman"/>
          <w:b w:val="0"/>
          <w:i w:val="0"/>
          <w:sz w:val="22"/>
        </w:rPr>
        <w:t xml:space="preserve"> De 23 057 registros quedaron 17 129 informes únicos; 233 informes formaron 183 estudios evaluados para elegibilidad, de los que 118 se excluyeron, 63 por no disponer del artículo completo. Quedan 65 estudios, todos leídos a texto completo; exigirlo dejó fuera 7 de 9 diseños comparativos. De ellos, el 52,3 % son reportes de caso único y el 3,1 % tiene diseño comparativo según el resumen; la categoría de resistencia no puede asignarse desde el resumen en el 70,8 %. En 43 de 73 brazos extraídos (58,9 %) no consta una definición operativa de éxito clínico. Ningún brazo reúne a la vez los requisitos aritméticos, los de elegibilidad y la métrica de una proporción agrupada.</w:t>
      </w:r>
    </w:p>
    <w:p>
      <w:pPr>
        <w:jc w:val="both"/>
      </w:pPr>
      <w:r>
        <w:rPr>
          <w:rFonts w:ascii="Times New Roman" w:hAnsi="Times New Roman"/>
          <w:b w:val="0"/>
          <w:i/>
          <w:sz w:val="22"/>
        </w:rPr>
        <w:t>Conclusiones.</w:t>
      </w:r>
      <w:r>
        <w:rPr>
          <w:rFonts w:ascii="Times New Roman" w:hAnsi="Times New Roman"/>
          <w:b w:val="0"/>
          <w:i w:val="0"/>
          <w:sz w:val="22"/>
        </w:rPr>
        <w:t xml:space="preserve"> El cuerpo de evidencia es amplio pero inadecuado para una síntesis cuantitativa de eficacia: las proporciones publicadas descansan sobre supuestos que estos datos no verifican.</w:t>
      </w:r>
    </w:p>
    <w:p>
      <w:pPr>
        <w:jc w:val="both"/>
      </w:pPr>
      <w:r>
        <w:rPr>
          <w:rFonts w:ascii="Times New Roman" w:hAnsi="Times New Roman"/>
          <w:b w:val="0"/>
          <w:i/>
          <w:sz w:val="22"/>
        </w:rPr>
        <w:t>Palabras clave:</w:t>
      </w:r>
      <w:r>
        <w:rPr>
          <w:rFonts w:ascii="Times New Roman" w:hAnsi="Times New Roman"/>
          <w:b w:val="0"/>
          <w:i w:val="0"/>
          <w:sz w:val="22"/>
        </w:rPr>
        <w:t xml:space="preserve"> bacteriófagos; fagoterapia; farmacorresistencia bacteriana múltiple; </w:t>
      </w:r>
      <w:r>
        <w:rPr>
          <w:rFonts w:ascii="Times New Roman" w:hAnsi="Times New Roman"/>
          <w:b w:val="0"/>
          <w:i/>
          <w:sz w:val="22"/>
        </w:rPr>
        <w:t>Pseudomonas aeruginosa</w:t>
      </w:r>
      <w:r>
        <w:rPr>
          <w:rFonts w:ascii="Times New Roman" w:hAnsi="Times New Roman"/>
          <w:b w:val="0"/>
          <w:i w:val="0"/>
          <w:sz w:val="22"/>
        </w:rPr>
        <w:t>; revisión sistemática.</w:t>
      </w:r>
    </w:p>
    <w:p>
      <w:pPr>
        <w:spacing w:before="360" w:after="40"/>
      </w:pPr>
      <w:r>
        <w:rPr>
          <w:rFonts w:ascii="Times New Roman" w:hAnsi="Times New Roman"/>
          <w:b/>
          <w:i w:val="0"/>
          <w:sz w:val="24"/>
        </w:rPr>
        <w:t>Structured abstract (English) — 251 palabras</w:t>
      </w:r>
    </w:p>
    <w:p>
      <w:pPr>
        <w:spacing w:after="140" w:line="240" w:lineRule="auto"/>
      </w:pPr>
      <w:r>
        <w:rPr>
          <w:rFonts w:ascii="Times New Roman" w:hAnsi="Times New Roman"/>
          <w:i/>
          <w:color w:val="555555"/>
          <w:sz w:val="18"/>
        </w:rPr>
        <w:t>No se envía. Versión por etiquetas, de referencia.</w:t>
      </w:r>
    </w:p>
    <w:p>
      <w:pPr>
        <w:jc w:val="both"/>
      </w:pPr>
      <w:r>
        <w:rPr>
          <w:rFonts w:ascii="Times New Roman" w:hAnsi="Times New Roman"/>
          <w:b w:val="0"/>
          <w:i/>
          <w:sz w:val="22"/>
        </w:rPr>
        <w:t>Introduction.</w:t>
      </w:r>
      <w:r>
        <w:rPr>
          <w:rFonts w:ascii="Times New Roman" w:hAnsi="Times New Roman"/>
          <w:b w:val="0"/>
          <w:i w:val="0"/>
          <w:sz w:val="22"/>
        </w:rPr>
        <w:t xml:space="preserve"> Several recent syntheses pool phage therapy outcomes in resistant </w:t>
      </w:r>
      <w:r>
        <w:rPr>
          <w:rFonts w:ascii="Times New Roman" w:hAnsi="Times New Roman"/>
          <w:b w:val="0"/>
          <w:i/>
          <w:sz w:val="22"/>
        </w:rPr>
        <w:t>Pseudomonas aeruginosa</w:t>
      </w:r>
      <w:r>
        <w:rPr>
          <w:rFonts w:ascii="Times New Roman" w:hAnsi="Times New Roman"/>
          <w:b w:val="0"/>
          <w:i w:val="0"/>
          <w:sz w:val="22"/>
        </w:rPr>
        <w:t xml:space="preserve"> into overall success proportions without examining their aggregability.</w:t>
      </w:r>
    </w:p>
    <w:p>
      <w:pPr>
        <w:jc w:val="both"/>
      </w:pPr>
      <w:r>
        <w:rPr>
          <w:rFonts w:ascii="Times New Roman" w:hAnsi="Times New Roman"/>
          <w:b w:val="0"/>
          <w:i/>
          <w:sz w:val="22"/>
        </w:rPr>
        <w:t>Objective.</w:t>
      </w:r>
      <w:r>
        <w:rPr>
          <w:rFonts w:ascii="Times New Roman" w:hAnsi="Times New Roman"/>
          <w:b w:val="0"/>
          <w:i w:val="0"/>
          <w:sz w:val="22"/>
        </w:rPr>
        <w:t xml:space="preserve"> To delimit the available evidence and determine whether its structure and reporting admit a quantitative synthesis of efficacy.</w:t>
      </w:r>
    </w:p>
    <w:p>
      <w:pPr>
        <w:jc w:val="both"/>
      </w:pPr>
      <w:r>
        <w:rPr>
          <w:rFonts w:ascii="Times New Roman" w:hAnsi="Times New Roman"/>
          <w:b w:val="0"/>
          <w:i/>
          <w:sz w:val="22"/>
        </w:rPr>
        <w:t>Methodology.</w:t>
      </w:r>
      <w:r>
        <w:rPr>
          <w:rFonts w:ascii="Times New Roman" w:hAnsi="Times New Roman"/>
          <w:b w:val="0"/>
          <w:i w:val="0"/>
          <w:sz w:val="22"/>
        </w:rPr>
        <w:t xml:space="preserve"> Systematic review following PRISMA 2020, with separate streams for bibliographic databases and trial registries. Eight sources were queried with a 2016-2026 window where the interface allows it. The unit of inclusion was the study, with its full article (a criterion added after extraction). Extraction was in duplicate, without established independence; 539 of 541 disagreements adjudicated. Risk of bias was assessed by consensus in the 9 comparative studies (RoB 2, ROBINS-I), likewise without established independence; GRADE was not applied.</w:t>
      </w:r>
    </w:p>
    <w:p>
      <w:pPr>
        <w:jc w:val="both"/>
      </w:pPr>
      <w:r>
        <w:rPr>
          <w:rFonts w:ascii="Times New Roman" w:hAnsi="Times New Roman"/>
          <w:b w:val="0"/>
          <w:i/>
          <w:sz w:val="22"/>
        </w:rPr>
        <w:t>Results.</w:t>
      </w:r>
      <w:r>
        <w:rPr>
          <w:rFonts w:ascii="Times New Roman" w:hAnsi="Times New Roman"/>
          <w:b w:val="0"/>
          <w:i w:val="0"/>
          <w:sz w:val="22"/>
        </w:rPr>
        <w:t xml:space="preserve"> From 23 057 records, 17 129 unique reports remained; 233 reports formed 183 studies assessed for eligibility, of which 118 were excluded, 63 for lacking the full article. 65 studies remain, all read in full text; requiring it left out 7 of 9 comparative designs. Of these, 52.3 % are single case reports and 3.1 % have a comparative design by abstract; resistance category cannot be assigned from the abstract in 70.8 %. In 43 of the 73 extracted arms (58.9 %) no operational definition of clinical success is on record. No arm meets at once the arithmetic, eligibility and metric requirements of a pooled proportion.</w:t>
      </w:r>
    </w:p>
    <w:p>
      <w:pPr>
        <w:jc w:val="both"/>
      </w:pPr>
      <w:r>
        <w:rPr>
          <w:rFonts w:ascii="Times New Roman" w:hAnsi="Times New Roman"/>
          <w:b w:val="0"/>
          <w:i/>
          <w:sz w:val="22"/>
        </w:rPr>
        <w:t>Conclusions.</w:t>
      </w:r>
      <w:r>
        <w:rPr>
          <w:rFonts w:ascii="Times New Roman" w:hAnsi="Times New Roman"/>
          <w:b w:val="0"/>
          <w:i w:val="0"/>
          <w:sz w:val="22"/>
        </w:rPr>
        <w:t xml:space="preserve"> The evidence base is broad but unsuited to a quantitative synthesis of efficacy: the published proportions rest on assumptions that these data do not verify.</w:t>
      </w:r>
    </w:p>
    <w:p>
      <w:pPr>
        <w:jc w:val="both"/>
      </w:pPr>
      <w:r>
        <w:rPr>
          <w:rFonts w:ascii="Times New Roman" w:hAnsi="Times New Roman"/>
          <w:b w:val="0"/>
          <w:i/>
          <w:sz w:val="22"/>
        </w:rPr>
        <w:t>Keywords:</w:t>
      </w:r>
      <w:r>
        <w:rPr>
          <w:rFonts w:ascii="Times New Roman" w:hAnsi="Times New Roman"/>
          <w:b w:val="0"/>
          <w:i w:val="0"/>
          <w:sz w:val="22"/>
        </w:rPr>
        <w:t xml:space="preserve"> bacteriophages; phage therapy; multiple bacterial drug resistance; </w:t>
      </w:r>
      <w:r>
        <w:rPr>
          <w:rFonts w:ascii="Times New Roman" w:hAnsi="Times New Roman"/>
          <w:b w:val="0"/>
          <w:i/>
          <w:sz w:val="22"/>
        </w:rPr>
        <w:t>Pseudomonas aeruginosa</w:t>
      </w:r>
      <w:r>
        <w:rPr>
          <w:rFonts w:ascii="Times New Roman" w:hAnsi="Times New Roman"/>
          <w:b w:val="0"/>
          <w:i w:val="0"/>
          <w:sz w:val="22"/>
        </w:rPr>
        <w:t>; systematic review.</w:t>
      </w:r>
    </w:p>
    <w:p>
      <w:pPr>
        <w:spacing w:before="360" w:after="40"/>
      </w:pPr>
      <w:r>
        <w:rPr>
          <w:rFonts w:ascii="Times New Roman" w:hAnsi="Times New Roman"/>
          <w:b/>
          <w:i w:val="0"/>
          <w:sz w:val="24"/>
        </w:rPr>
        <w:t>Resumen en párrafo corrido (español) — 250 palabras</w:t>
      </w:r>
    </w:p>
    <w:p>
      <w:pPr>
        <w:spacing w:after="140" w:line="240" w:lineRule="auto"/>
      </w:pPr>
      <w:r>
        <w:rPr>
          <w:rFonts w:ascii="Times New Roman" w:hAnsi="Times New Roman"/>
          <w:i/>
          <w:color w:val="555555"/>
          <w:sz w:val="18"/>
        </w:rPr>
        <w:t>Esta es la que va en el manuscrito. Dentro del límite de 250.</w:t>
      </w:r>
    </w:p>
    <w:p>
      <w:pPr>
        <w:jc w:val="both"/>
      </w:pPr>
      <w:r>
        <w:rPr>
          <w:rFonts w:ascii="Times New Roman" w:hAnsi="Times New Roman"/>
          <w:b w:val="0"/>
          <w:i w:val="0"/>
          <w:sz w:val="22"/>
        </w:rPr>
        <w:t xml:space="preserve">Varias síntesis recientes agregan los desenlaces de la fagoterapia en </w:t>
      </w:r>
      <w:r>
        <w:rPr>
          <w:rFonts w:ascii="Times New Roman" w:hAnsi="Times New Roman"/>
          <w:b w:val="0"/>
          <w:i/>
          <w:sz w:val="22"/>
        </w:rPr>
        <w:t>Pseudomonas aeruginosa</w:t>
      </w:r>
      <w:r>
        <w:rPr>
          <w:rFonts w:ascii="Times New Roman" w:hAnsi="Times New Roman"/>
          <w:b w:val="0"/>
          <w:i w:val="0"/>
          <w:sz w:val="22"/>
        </w:rPr>
        <w:t xml:space="preserve"> resistente en proporciones globales de éxito, sin examinar su agregabilidad. Este trabajo delimita esa evidencia y determina si su estructura y reporte admiten una síntesis cuantitativa de eficacia. Revisión sistemática conforme a PRISMA 2020 sobre ocho fuentes —bases bibliográficas y registros de ensayos—, con ventana 2016-2026 donde la interfaz la admite. La unidad de inclusión fue el estudio, con artículo completo (criterio añadido tras la extracción). Extracción por duplicado, sin independencia acreditada; 539 de 541 desacuerdos adjudicados. El riesgo de sesgo se evaluó por consenso en los 9 comparativos (RoB 2, ROBINS-I), tampoco con independencia acreditada; sin GRADE. De 23 057 registros quedaron 17 129 informes únicos; 233 informes formaron 183 estudios evaluados para elegibilidad, de los que 118 se excluyeron, 63 por no disponer del artículo completo. Quedan 65 estudios, todos leídos a texto completo; exigirlo dejó fuera 7 de 9 diseños comparativos. De ellos, el 52,3 % son reportes de caso único y el 3,1 % tiene diseño comparativo según el resumen; la categoría de resistencia no puede asignarse desde el resumen en el 70,8 %. En 43 de 73 brazos extraídos (58,9 %) no consta una definición operativa de éxito clínico. Ningún brazo reúne a la vez los requisitos aritméticos, los de elegibilidad y la métrica de una proporción agrupada. El cuerpo de evidencia es amplio pero inadecuado para una síntesis cuantitativa de eficacia: las proporciones publicadas descansan sobre supuestos que estos datos no verifican.</w:t>
      </w:r>
    </w:p>
    <w:p>
      <w:pPr>
        <w:jc w:val="both"/>
      </w:pPr>
      <w:r>
        <w:rPr>
          <w:rFonts w:ascii="Times New Roman" w:hAnsi="Times New Roman"/>
          <w:b w:val="0"/>
          <w:i/>
          <w:sz w:val="22"/>
        </w:rPr>
        <w:t>Palabras clave:</w:t>
      </w:r>
      <w:r>
        <w:rPr>
          <w:rFonts w:ascii="Times New Roman" w:hAnsi="Times New Roman"/>
          <w:b w:val="0"/>
          <w:i w:val="0"/>
          <w:sz w:val="22"/>
        </w:rPr>
        <w:t xml:space="preserve"> bacteriófagos; fagoterapia; farmacorresistencia bacteriana múltiple; </w:t>
      </w:r>
      <w:r>
        <w:rPr>
          <w:rFonts w:ascii="Times New Roman" w:hAnsi="Times New Roman"/>
          <w:b w:val="0"/>
          <w:i/>
          <w:sz w:val="22"/>
        </w:rPr>
        <w:t>Pseudomonas aeruginosa</w:t>
      </w:r>
      <w:r>
        <w:rPr>
          <w:rFonts w:ascii="Times New Roman" w:hAnsi="Times New Roman"/>
          <w:b w:val="0"/>
          <w:i w:val="0"/>
          <w:sz w:val="22"/>
        </w:rPr>
        <w:t>; revisión sistemática.</w:t>
      </w:r>
    </w:p>
    <w:p>
      <w:pPr>
        <w:spacing w:before="360" w:after="40"/>
      </w:pPr>
      <w:r>
        <w:rPr>
          <w:rFonts w:ascii="Times New Roman" w:hAnsi="Times New Roman"/>
          <w:b/>
          <w:i w:val="0"/>
          <w:sz w:val="24"/>
        </w:rPr>
        <w:t>Abstract as a single paragraph (English) — 242 palabras</w:t>
      </w:r>
    </w:p>
    <w:p>
      <w:pPr>
        <w:spacing w:after="140" w:line="240" w:lineRule="auto"/>
      </w:pPr>
      <w:r>
        <w:rPr>
          <w:rFonts w:ascii="Times New Roman" w:hAnsi="Times New Roman"/>
          <w:i/>
          <w:color w:val="555555"/>
          <w:sz w:val="18"/>
        </w:rPr>
        <w:t>Esta es la que va en el manuscrito. Dentro del límite de 250.</w:t>
      </w:r>
    </w:p>
    <w:p>
      <w:pPr>
        <w:jc w:val="both"/>
      </w:pPr>
      <w:r>
        <w:rPr>
          <w:rFonts w:ascii="Times New Roman" w:hAnsi="Times New Roman"/>
          <w:b w:val="0"/>
          <w:i w:val="0"/>
          <w:sz w:val="22"/>
        </w:rPr>
        <w:t xml:space="preserve">Several recent syntheses pool phage therapy outcomes in resistant </w:t>
      </w:r>
      <w:r>
        <w:rPr>
          <w:rFonts w:ascii="Times New Roman" w:hAnsi="Times New Roman"/>
          <w:b w:val="0"/>
          <w:i/>
          <w:sz w:val="22"/>
        </w:rPr>
        <w:t>Pseudomonas aeruginosa</w:t>
      </w:r>
      <w:r>
        <w:rPr>
          <w:rFonts w:ascii="Times New Roman" w:hAnsi="Times New Roman"/>
          <w:b w:val="0"/>
          <w:i w:val="0"/>
          <w:sz w:val="22"/>
        </w:rPr>
        <w:t xml:space="preserve"> into overall success proportions without examining their aggregability. This work delimits that evidence and determines whether its structure and reporting admit a quantitative synthesis of efficacy. A PRISMA 2020 systematic review across eight sources —bibliographic databases and trial registries—, with a 2016-2026 window where the interface allows it. The unit of inclusion was the study, with its full article (a criterion added after extraction). Data were extracted in duplicate, without established independence; 539 of 541 disagreements adjudicated. Risk of bias was assessed by consensus in the 9 comparative studies (RoB 2, ROBINS-I), likewise without established independence; GRADE was not applied. From 23 057 records, 17 129 unique reports remained; 233 reports formed 183 studies assessed for eligibility, of which 118 were excluded, 63 for lacking the full article. 65 studies remain, all read in full text; requiring it left out 7 of 9 comparative designs. Of these, 52.3 % are single case reports and 3.1 % have a comparative design by abstract; resistance category cannot be assigned from the abstract in 70.8 %. In 43 of the 73 extracted arms (58.9 %) no operational definition of clinical success is on record. No arm meets at once the arithmetic, eligibility and metric requirements of a pooled proportion. The evidence base is broad but unsuited to a quantitative synthesis of efficacy: the published proportions rest on assumptions that these data do not verify.</w:t>
      </w:r>
    </w:p>
    <w:p>
      <w:pPr>
        <w:jc w:val="both"/>
      </w:pPr>
      <w:r>
        <w:rPr>
          <w:rFonts w:ascii="Times New Roman" w:hAnsi="Times New Roman"/>
          <w:b w:val="0"/>
          <w:i/>
          <w:sz w:val="22"/>
        </w:rPr>
        <w:t>Keywords:</w:t>
      </w:r>
      <w:r>
        <w:rPr>
          <w:rFonts w:ascii="Times New Roman" w:hAnsi="Times New Roman"/>
          <w:b w:val="0"/>
          <w:i w:val="0"/>
          <w:sz w:val="22"/>
        </w:rPr>
        <w:t xml:space="preserve"> bacteriophages; phage therapy; multiple bacterial drug resistance; </w:t>
      </w:r>
      <w:r>
        <w:rPr>
          <w:rFonts w:ascii="Times New Roman" w:hAnsi="Times New Roman"/>
          <w:b w:val="0"/>
          <w:i/>
          <w:sz w:val="22"/>
        </w:rPr>
        <w:t>Pseudomonas aeruginosa</w:t>
      </w:r>
      <w:r>
        <w:rPr>
          <w:rFonts w:ascii="Times New Roman" w:hAnsi="Times New Roman"/>
          <w:b w:val="0"/>
          <w:i w:val="0"/>
          <w:sz w:val="22"/>
        </w:rPr>
        <w:t>; systematic review.</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i/>
        <w:sz w:val="18"/>
      </w:rPr>
      <w:t>Resumen estructurado — hoja de trabajo. El resumen que se envía ya va dentro de manuscrito_JSR_final.docx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