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w:t>
      </w:r>
    </w:p>
    <w:p>
      <w:pPr>
        <w:pStyle w:val="Heading2"/>
      </w:pPr>
      <w:r>
        <w:t>Formulario ICMJE de conflictos de interés</w:t>
      </w:r>
    </w:p>
    <w:p>
      <w:r>
        <w:t>Cada autor debe adjuntar el formulario ICMJE Disclosure of Interest firmado.</w:t>
      </w:r>
    </w:p>
    <w:p>
      <w:pPr>
        <w:pStyle w:val="Heading2"/>
      </w:pPr>
      <w:r>
        <w:t>Contribución de los autores (CRediT)</w:t>
      </w:r>
    </w:p>
    <w:p>
      <w:r>
        <w:t>D. Valdiviezo: conceptualización, metodología, investigación (según declara D.V., diseño de las búsquedas con la participación del modelo de lenguaje y su ejecución en cada interfaz con la guía del modelo; extracción de datos; riesgo de sesgo), dirección del software, la curación de datos, el análisis y la visualización, que programó y ejecutó el modelo de lenguaje, revisión de los borradores, que redactó el modelo, y administración del proyecto. N. Trelles: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pStyle w:val="Heading2"/>
      </w:pPr>
      <w:r>
        <w:t>Registro del protocolo</w:t>
      </w:r>
    </w:p>
    <w:p>
      <w:r>
        <w:t>La revisión no se registró en PROSPERO ni en ningún otro registro prospectivo, y no se depositó un protocolo previo (§2.1 del informe extendido; en el manuscrito de la revista, METODOLOGÍA › Protocolo y reporte). El protocolo de la fase definitiva de la revisión se depositará en OSF; no cubre este informe, que es anterior a él.</w:t>
      </w:r>
    </w:p>
    <w:p>
      <w:pPr>
        <w:pStyle w:val="Heading2"/>
      </w:pPr>
      <w:r>
        <w:t>Disponibilidad de datos y código</w:t>
      </w:r>
    </w:p>
    <w:p>
      <w:r>
        <w:t>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pStyle w:val="Heading2"/>
      </w:pPr>
      <w:r>
        <w:t>Uso de inteligencia artificial</w:t>
      </w:r>
    </w:p>
    <w:p>
      <w:r>
        <w:t>Un modelo de lenguaje generativo (Claude Opus 5, Anthropic) intervino en todas las fases de esta revisión. Criterios. Redactó las propuestas de criterios y de reglas que decidieron los autores: entre ellas, la unidad de inclusión por estudio y la elegibilidad de los resúmenes de congreso (5 de agosto de 2026), los códigos de exclusión añadidos después del cribado (PRO, INT y NOORG) y las reglas de desenlace, que según declara D.V. decidieron los dos autores, aunque el registro del 12 de agosto de 2026 las dejó como propuesta sin ratificar; y las dos reglas añadidas a mitad de lote el 4 de agosto, que incorporó a sus guiones de cribado. Cribado.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Búsqueda.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Selección y extracción. Localizó y descargó textos completos, también con un navegador; propuso la agrupación de los informes en estudios; leyó los textos completos y las fichas de registro y propuso, con su cita, las exclusiones que se apoyan en ellos,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y detectó y leyó primero los pares de estudios que podían compartir pacientes, antes de la relectura de los autores. Riesgo de sesgo. Puso en cada casilla de los formularios, como comentario, las frases del artículo que localizó de forma automática para cada dominio, y generó el cuaderno de consenso con los juicios coincidentes precargados. Canal y redacción.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2"/>
      </w:pPr>
      <w:r>
        <w:t>Ética y consentimiento</w:t>
      </w:r>
    </w:p>
    <w:p>
      <w:r>
        <w:t>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