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11 de agosto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No puede, sin embargo, entrar en revisión por pares como revisión sistemática completa mientras los desacuerdos de la extracción no estén adjudicados: la extracción por duplicado sí está hecha (122 de 124 estudios), pero 14 de los 541 desacuerdos siguen sin firmar, y hasta entonces ninguna cifra de desenlace puede apoyarse en los cuadernos.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nueve fuentes en dos corrientes,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nombra el modelo, la versión y el número de decisiones que emitió, y separa las tareas en que el modelo juzgó de aquellas en que no. Declara además que ningún revisor humano adjudicó decisiones de cribado individuales, que es la parte que casi ninguna revisión declara por su cuenta.</w:t>
      </w:r>
    </w:p>
    <w:p>
      <w:pPr>
        <w:pStyle w:val="ListBullet"/>
      </w:pPr>
      <w:r>
        <w:t>El criterio de idioma no se da por supuesto en ningún informe. Se verificó contra el campo de idioma de la fuente y, en los 52 estudios con PDF, contra el texto completo. Esa comprobación detectó dos estudios cuyos metadatos declaraban inglés y cuyo artículo está en ruso, que se excluyeron: sin abrir el PDF se habrían quedado dentro. Los 190 informes incluidos quedan con evidencia nombrada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Como editor lo acepto declarado, pero advierto de la objeción que le van a plantear y que el manuscrito debe seguir respondiendo con claridad: el propio artículo demuestra que los diseños comparativos se concentran en la literatura de Europa del Este, y el criterio deja fuera precisamente esa literatura. La respuesta actual -- que la búsqueda sí la recuperó, que la revisión documenta su existencia y su tamaño, y que declara no poder pronunciarse sobre su contenido -- es defendible. Debe mantenerse en Discusión y no diluirse.</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
              <w:rPr>
                <w:b/>
                <w:sz w:val="18"/>
              </w:rPr>
              <w:t>Efecto del criterio</w:t>
            </w:r>
          </w:p>
        </w:tc>
        <w:tc>
          <w:tcPr>
            <w:tcW w:type="dxa" w:w="2494"/>
          </w:tcPr>
          <w:p>
            <w:r/>
            <w:r>
              <w:rPr>
                <w:b/>
                <w:sz w:val="18"/>
              </w:rPr>
              <w:t>Antes</w:t>
            </w:r>
          </w:p>
        </w:tc>
        <w:tc>
          <w:tcPr>
            <w:tcW w:type="dxa" w:w="2494"/>
          </w:tcPr>
          <w:p>
            <w:r/>
            <w:r>
              <w:rPr>
                <w:b/>
                <w:sz w:val="18"/>
              </w:rPr>
              <w:t>Después</w:t>
            </w:r>
          </w:p>
        </w:tc>
      </w:tr>
      <w:tr>
        <w:tc>
          <w:tcPr>
            <w:tcW w:type="dxa" w:w="3969"/>
          </w:tcPr>
          <w:p>
            <w:r/>
            <w:r>
              <w:rPr>
                <w:sz w:val="18"/>
              </w:rPr>
              <w:t>Estudios</w:t>
            </w:r>
          </w:p>
        </w:tc>
        <w:tc>
          <w:tcPr>
            <w:tcW w:type="dxa" w:w="2494"/>
          </w:tcPr>
          <w:p>
            <w:r/>
            <w:r>
              <w:rPr>
                <w:sz w:val="18"/>
              </w:rPr>
              <w:t>219</w:t>
            </w:r>
          </w:p>
        </w:tc>
        <w:tc>
          <w:tcPr>
            <w:tcW w:type="dxa" w:w="2494"/>
          </w:tcPr>
          <w:p>
            <w:r/>
            <w:r>
              <w:rPr>
                <w:sz w:val="18"/>
              </w:rPr>
              <w:t>155</w:t>
            </w:r>
          </w:p>
        </w:tc>
      </w:tr>
      <w:tr>
        <w:tc>
          <w:tcPr>
            <w:tcW w:type="dxa" w:w="3969"/>
          </w:tcPr>
          <w:p>
            <w:r/>
            <w:r>
              <w:rPr>
                <w:sz w:val="18"/>
              </w:rPr>
              <w:t>Con publicación recuperable</w:t>
            </w:r>
          </w:p>
        </w:tc>
        <w:tc>
          <w:tcPr>
            <w:tcW w:type="dxa" w:w="2494"/>
          </w:tcPr>
          <w:p>
            <w:r/>
            <w:r>
              <w:rPr>
                <w:sz w:val="18"/>
              </w:rPr>
              <w:t>159</w:t>
            </w:r>
          </w:p>
        </w:tc>
        <w:tc>
          <w:tcPr>
            <w:tcW w:type="dxa" w:w="2494"/>
          </w:tcPr>
          <w:p>
            <w:r/>
            <w:r>
              <w:rPr>
                <w:sz w:val="18"/>
              </w:rPr>
              <w:t>95</w:t>
            </w:r>
          </w:p>
        </w:tc>
      </w:tr>
      <w:tr>
        <w:tc>
          <w:tcPr>
            <w:tcW w:type="dxa" w:w="3969"/>
          </w:tcPr>
          <w:p>
            <w:r/>
            <w:r>
              <w:rPr>
                <w:sz w:val="18"/>
              </w:rPr>
              <w:t>Diseños comparativos</w:t>
            </w:r>
          </w:p>
        </w:tc>
        <w:tc>
          <w:tcPr>
            <w:tcW w:type="dxa" w:w="2494"/>
          </w:tcPr>
          <w:p>
            <w:r/>
            <w:r>
              <w:rPr>
                <w:sz w:val="18"/>
              </w:rPr>
              <w:t>41</w:t>
            </w:r>
          </w:p>
        </w:tc>
        <w:tc>
          <w:tcPr>
            <w:tcW w:type="dxa" w:w="2494"/>
          </w:tcPr>
          <w:p>
            <w:r/>
            <w:r>
              <w:rPr>
                <w:sz w:val="18"/>
              </w:rPr>
              <w:t>11</w:t>
            </w:r>
          </w:p>
        </w:tc>
      </w:tr>
      <w:tr>
        <w:tc>
          <w:tcPr>
            <w:tcW w:type="dxa" w:w="3969"/>
          </w:tcPr>
          <w:p>
            <w:r/>
            <w:r>
              <w:rPr>
                <w:sz w:val="18"/>
              </w:rPr>
              <w:t>Ensayos aleatorizados</w:t>
            </w:r>
          </w:p>
        </w:tc>
        <w:tc>
          <w:tcPr>
            <w:tcW w:type="dxa" w:w="2494"/>
          </w:tcPr>
          <w:p>
            <w:r/>
            <w:r>
              <w:rPr>
                <w:sz w:val="18"/>
              </w:rPr>
              <w:t>21</w:t>
            </w:r>
          </w:p>
        </w:tc>
        <w:tc>
          <w:tcPr>
            <w:tcW w:type="dxa" w:w="2494"/>
          </w:tcPr>
          <w:p>
            <w:r/>
            <w:r>
              <w:rPr>
                <w:sz w:val="18"/>
              </w:rPr>
              <w:t>7</w:t>
            </w:r>
          </w:p>
        </w:tc>
      </w:tr>
      <w:tr>
        <w:tc>
          <w:tcPr>
            <w:tcW w:type="dxa" w:w="3969"/>
          </w:tcPr>
          <w:p>
            <w:r/>
            <w:r>
              <w:rPr>
                <w:sz w:val="18"/>
              </w:rPr>
              <w:t>Estudios de procedencia rusa</w:t>
            </w:r>
          </w:p>
        </w:tc>
        <w:tc>
          <w:tcPr>
            <w:tcW w:type="dxa" w:w="2494"/>
          </w:tcPr>
          <w:p>
            <w:r/>
            <w:r>
              <w:rPr>
                <w:sz w:val="18"/>
              </w:rPr>
              <w:t>34</w:t>
            </w:r>
          </w:p>
        </w:tc>
        <w:tc>
          <w:tcPr>
            <w:tcW w:type="dxa" w:w="2494"/>
          </w:tcPr>
          <w:p>
            <w:r/>
            <w:r>
              <w:rPr>
                <w:sz w:val="18"/>
              </w:rPr>
              <w:t>3</w:t>
            </w:r>
          </w:p>
        </w:tc>
      </w:tr>
    </w:tbl>
    <w:p/>
    <w:p>
      <w:r>
        <w:rPr>
          <w:i/>
          <w:color w:val="444444"/>
          <w:sz w:val="17"/>
        </w:rPr>
        <w:t>De los 35 estudios eliminados, dos se detectaron solo al leer el PDF: sus metadatos declaraban inglés y el artículo está en ruso. Se pierde además Ronit 2024, del conjunto de control positivo.</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por consenso de los desacuerdos</w:t>
            </w:r>
          </w:p>
        </w:tc>
        <w:tc>
          <w:tcPr>
            <w:tcW w:type="dxa" w:w="3628"/>
          </w:tcPr>
          <w:p>
            <w:r/>
            <w:r>
              <w:rPr>
                <w:sz w:val="18"/>
              </w:rPr>
              <w:t>La extracción por duplicado está completa (122 de 124 estudios, 98 %), pero 14 de los 541 desacuerdos siguen sin firmar. Hasta que se firmen no hay desenlaces, ni riesgo de sesgo, ni GRADE, porque ninguna cifra puede apoyarse todavía en los cuadernos.</w:t>
            </w:r>
          </w:p>
        </w:tc>
        <w:tc>
          <w:tcPr>
            <w:tcW w:type="dxa" w:w="2494"/>
          </w:tcPr>
          <w:p>
            <w:r/>
            <w:r>
              <w:rPr>
                <w:sz w:val="18"/>
              </w:rPr>
              <w:t>Los dos revisores, sobre ADJUDICACION_conflictos.xlsx</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74,7 % obtenido sigue siendo insuficiente y, sobre todo, sesgado: la fracción faltante concentra el 54,5 %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24 textos completos que faltan para que el manuscrito resista la revisión. Los 11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describe con precisión lo que el trabajo hace, pero es largo. Considerar «Phage therapy for multidrug-resistant Pseudomonas aeruginosa: how verifiable is the clinical evidence base?».</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95 estudios y dos revisores.</w:t>
            </w:r>
          </w:p>
        </w:tc>
      </w:tr>
      <w:tr>
        <w:tc>
          <w:tcPr>
            <w:tcW w:type="dxa" w:w="2381"/>
          </w:tcPr>
          <w:p>
            <w:r/>
            <w:r>
              <w:rPr>
                <w:sz w:val="18"/>
              </w:rPr>
              <w:t>B. Enviar como está, reencuadrado</w:t>
            </w:r>
          </w:p>
        </w:tc>
        <w:tc>
          <w:tcPr>
            <w:tcW w:type="dxa" w:w="3628"/>
          </w:tcPr>
          <w:p>
            <w:r/>
            <w:r>
              <w:rPr>
                <w:sz w:val="18"/>
              </w:rPr>
              <w:t>Revisión sistemática de la estructura y verificabilidad del cuerpo de evidencia,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