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6 792.</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29 salieron del corpus</w:t>
      </w:r>
      <w:r>
        <w:t xml:space="preserve"> —protocolos, modelos preclínicos, y artículos donde </w:t>
      </w:r>
      <w:r>
        <w:rPr>
          <w:i/>
        </w:rPr>
        <w:t>P. aeruginosa</w:t>
      </w:r>
      <w:r>
        <w:t xml:space="preserve"> solo figura en el espectro del producto—: quedan </w:t>
      </w:r>
      <w:r>
        <w:rPr>
          <w:b/>
        </w:rPr>
        <w:t>155</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24 de los 95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2 de los 103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155 a 131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29 de ellos salieron del corpus</w:t>
      </w:r>
      <w:r>
        <w:t xml:space="preserve">, y se excluyeron; el apartado siguiente los detalla. El cuerpo de evidencia queda en </w:t>
      </w:r>
      <w:r>
        <w:rPr>
          <w:b/>
        </w:rPr>
        <w:t>155 estudios</w:t>
      </w:r>
      <w:r>
        <w:t>, que agrupan 190 informes: 132 con un solo informe y 23 con varios, hasta un máximo de once informes de un mismo ensayo.</w:t>
      </w:r>
    </w:p>
    <w:p>
      <w:pPr>
        <w:pStyle w:val="Heading2"/>
      </w:pPr>
      <w:r>
        <w:t>3.1.1 Veintinueve estudios que el cribado admitió y que salieron después</w:t>
      </w:r>
    </w:p>
    <w:p>
      <w:r>
        <w:t xml:space="preserve">Los 29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155 estudios, </w:t>
      </w:r>
      <w:r>
        <w:rPr>
          <w:b/>
        </w:rPr>
        <w:t>95 tienen publicación recuperable</w:t>
      </w:r>
      <w:r>
        <w:t xml:space="preserve">: 92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68,0 % de los brazos. Dos brazos reportan un numerador mayor que su denominador —trece éxitos clínicos sobre un paciente, y cinco eventos adversos sobre cuatro—; se señalan como error de reporte y no se leen como proporciones.</w:t>
      </w:r>
    </w:p>
    <w:p>
      <w:r>
        <w:t xml:space="preserve">Ese 68,0 %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21 de los 103 brazos no puede clasificarse —13 en que los dos revisores acordaron «NA» y 8 que siguen abiertos—, de modo que los recuentos por diseño son suelos sobre los 82 restantes. De esos 82, </w:t>
      </w:r>
      <w:r>
        <w:rPr>
          <w:b/>
        </w:rPr>
        <w:t>7 brazos son ensayos</w:t>
      </w:r>
      <w:r>
        <w:t xml:space="preserve"> (aleatorizados o no) y </w:t>
      </w:r>
      <w:r>
        <w:rPr>
          <w:b/>
        </w:rPr>
        <w:t>9 son cohortes</w:t>
      </w:r>
      <w:r>
        <w:t>. La sección 3.3 y la tabla 1 llaman «comparativos» solo a los ensayos, y por eso allí la cifra es 23 estudios: cuando en esta sección se dice «comparativo» se incluyen también las cohortes, y son 16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155 estudios con su situación y sus informes agrupados, y de los 29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