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30"/>
        </w:rPr>
        <w:t>Datos para la carta de cesión de derechos de JSR</w:t>
      </w:r>
    </w:p>
    <w:p>
      <w:pPr>
        <w:jc w:val="both"/>
      </w:pPr>
      <w:r>
        <w:rPr>
          <w:rFonts w:ascii="Times New Roman" w:hAnsi="Times New Roman"/>
          <w:b w:val="0"/>
          <w:i w:val="0"/>
          <w:sz w:val="21"/>
        </w:rPr>
        <w:t xml:space="preserve">Esta hoja </w:t>
      </w:r>
      <w:r>
        <w:rPr>
          <w:rFonts w:ascii="Times New Roman" w:hAnsi="Times New Roman"/>
          <w:b/>
          <w:i w:val="0"/>
          <w:sz w:val="21"/>
        </w:rPr>
        <w:t>no es la carta</w:t>
      </w:r>
      <w:r>
        <w:rPr>
          <w:rFonts w:ascii="Times New Roman" w:hAnsi="Times New Roman"/>
          <w:b w:val="0"/>
          <w:i w:val="0"/>
          <w:sz w:val="21"/>
        </w:rPr>
        <w:t xml:space="preserve">. La carta la provee la revista, se llama «Carta de originalidad y cesión de derechos» y se descarga de la sección «Archivos y formatos descargables» de https://revistas.utb.edu.ec/index.php/sr/about/submissions. Su lista de comprobación avisa de que </w:t>
      </w:r>
      <w:r>
        <w:rPr>
          <w:rFonts w:ascii="Times New Roman" w:hAnsi="Times New Roman"/>
          <w:b/>
          <w:i w:val="0"/>
          <w:sz w:val="21"/>
        </w:rPr>
        <w:t>no se inicia la revisión</w:t>
      </w:r>
      <w:r>
        <w:rPr>
          <w:rFonts w:ascii="Times New Roman" w:hAnsi="Times New Roman"/>
          <w:b w:val="0"/>
          <w:i w:val="0"/>
          <w:sz w:val="21"/>
        </w:rPr>
        <w:t xml:space="preserve"> si no llegan el artículo, esta carta y el formato de información de autores, en los formatos de ellos. Aquí está lo que va en cada hueco.</w:t>
      </w:r>
    </w:p>
    <w:p>
      <w:pPr>
        <w:spacing w:before="280" w:after="100"/>
      </w:pPr>
      <w:r>
        <w:rPr>
          <w:rFonts w:ascii="Times New Roman" w:hAnsi="Times New Roman"/>
          <w:b/>
          <w:i w:val="0"/>
          <w:sz w:val="26"/>
        </w:rPr>
        <w:t>Lo que hay que escribir en la carta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Lugar y fecha:  </w:t>
      </w:r>
      <w:r>
        <w:rPr>
          <w:rFonts w:ascii="Times New Roman" w:hAnsi="Times New Roman"/>
          <w:sz w:val="22"/>
        </w:rPr>
        <w:t>Cuenca, Ecuador — dd/mm/aa el día que se firme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Nombre del artículo:  </w:t>
      </w:r>
      <w:r>
        <w:rPr>
          <w:rFonts w:ascii="Times New Roman" w:hAnsi="Times New Roman"/>
          <w:sz w:val="22"/>
        </w:rPr>
        <w:t>Fagoterapia en infecciones por Pseudomonas aeruginosa multirresistente: revisión sistemática de la literatura clínica y la completitud de su reporte</w:t>
      </w:r>
    </w:p>
    <w:p>
      <w:pPr>
        <w:ind w:left="432"/>
      </w:pPr>
      <w:r>
        <w:rPr>
          <w:rFonts w:ascii="Times New Roman" w:hAnsi="Times New Roman"/>
          <w:b w:val="0"/>
          <w:i/>
          <w:sz w:val="19"/>
        </w:rPr>
        <w:t>(19 palabras, dentro del máximo de 20 que pide la revista. El binomio va en cursiva: Pseudomonas aeruginosa.)</w:t>
      </w:r>
    </w:p>
    <w:p>
      <w:pPr>
        <w:spacing w:before="240" w:after="100"/>
      </w:pPr>
      <w:r>
        <w:rPr>
          <w:rFonts w:ascii="Times New Roman" w:hAnsi="Times New Roman"/>
          <w:b/>
          <w:i w:val="0"/>
          <w:sz w:val="24"/>
        </w:rPr>
        <w:t>Firma del Autor I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Nombres y apellidos:  </w:t>
      </w:r>
      <w:r>
        <w:rPr>
          <w:rFonts w:ascii="Times New Roman" w:hAnsi="Times New Roman"/>
          <w:sz w:val="22"/>
        </w:rPr>
        <w:t>Danny Valdiviezo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Documento de identidad:  </w:t>
      </w:r>
      <w:r>
        <w:rPr>
          <w:rFonts w:ascii="Times New Roman" w:hAnsi="Times New Roman"/>
          <w:color w:val="A03020"/>
          <w:sz w:val="22"/>
        </w:rPr>
        <w:t>PENDIENTE — solo lo tiene él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Correo electrónico:  </w:t>
      </w:r>
      <w:r>
        <w:rPr>
          <w:rFonts w:ascii="Times New Roman" w:hAnsi="Times New Roman"/>
          <w:sz w:val="22"/>
        </w:rPr>
        <w:t>dvchiqui@gmail.com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Número ORCID:  </w:t>
      </w:r>
      <w:r>
        <w:rPr>
          <w:rFonts w:ascii="Times New Roman" w:hAnsi="Times New Roman"/>
          <w:color w:val="A03020"/>
          <w:sz w:val="22"/>
        </w:rPr>
        <w:t>PENDIENTE (opcional para la revista)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Filiación:  </w:t>
      </w:r>
      <w:r>
        <w:rPr>
          <w:rFonts w:ascii="Times New Roman" w:hAnsi="Times New Roman"/>
          <w:sz w:val="22"/>
        </w:rPr>
        <w:t>Facultad de Medicina, Universidad Católica de Cuenca, Cuenca, Ecuador</w:t>
      </w:r>
    </w:p>
    <w:p>
      <w:pPr>
        <w:spacing w:before="240" w:after="100"/>
      </w:pPr>
      <w:r>
        <w:rPr>
          <w:rFonts w:ascii="Times New Roman" w:hAnsi="Times New Roman"/>
          <w:b/>
          <w:i w:val="0"/>
          <w:sz w:val="24"/>
        </w:rPr>
        <w:t>Firma del Autor II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Nombres y apellidos:  </w:t>
      </w:r>
      <w:r>
        <w:rPr>
          <w:rFonts w:ascii="Times New Roman" w:hAnsi="Times New Roman"/>
          <w:sz w:val="22"/>
        </w:rPr>
        <w:t>Nataly Trelles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Documento de identidad:  </w:t>
      </w:r>
      <w:r>
        <w:rPr>
          <w:rFonts w:ascii="Times New Roman" w:hAnsi="Times New Roman"/>
          <w:color w:val="A03020"/>
          <w:sz w:val="22"/>
        </w:rPr>
        <w:t>PENDIENTE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Correo electrónico:  </w:t>
      </w:r>
      <w:r>
        <w:rPr>
          <w:rFonts w:ascii="Times New Roman" w:hAnsi="Times New Roman"/>
          <w:color w:val="A03020"/>
          <w:sz w:val="22"/>
        </w:rPr>
        <w:t>PENDIENTE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Número ORCID:  </w:t>
      </w:r>
      <w:r>
        <w:rPr>
          <w:rFonts w:ascii="Times New Roman" w:hAnsi="Times New Roman"/>
          <w:color w:val="A03020"/>
          <w:sz w:val="22"/>
        </w:rPr>
        <w:t>PENDIENTE (opcional para la revista)</w:t>
      </w:r>
    </w:p>
    <w:p>
      <w:pPr>
        <w:spacing w:after="80"/>
        <w:ind w:left="432" w:hanging="432"/>
      </w:pPr>
      <w:r>
        <w:rPr>
          <w:rFonts w:ascii="Times New Roman" w:hAnsi="Times New Roman"/>
          <w:b/>
          <w:sz w:val="22"/>
        </w:rPr>
        <w:t xml:space="preserve">Filiación:  </w:t>
      </w:r>
      <w:r>
        <w:rPr>
          <w:rFonts w:ascii="Times New Roman" w:hAnsi="Times New Roman"/>
          <w:sz w:val="22"/>
        </w:rPr>
        <w:t>Facultad de Medicina, Universidad Católica de Cuenca, Cuenca, Ecuador</w:t>
      </w:r>
    </w:p>
    <w:p>
      <w:pPr>
        <w:spacing w:before="280" w:after="100"/>
      </w:pPr>
      <w:r>
        <w:rPr>
          <w:rFonts w:ascii="Times New Roman" w:hAnsi="Times New Roman"/>
          <w:b/>
          <w:i w:val="0"/>
          <w:sz w:val="26"/>
        </w:rPr>
        <w:t>Los ocho puntos que se firman, y cómo está cada uno</w:t>
      </w:r>
    </w:p>
    <w:p>
      <w:r>
        <w:rPr>
          <w:rFonts w:ascii="Times New Roman" w:hAnsi="Times New Roman"/>
          <w:b w:val="0"/>
          <w:i w:val="0"/>
          <w:sz w:val="20"/>
        </w:rPr>
        <w:t>Copiados de la carta de la revista el 14 de septiembre de 2026, para comprobarlos antes de firmar. Quien firma responde por los ocho.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1. Se esta de acuerdo con el contenido publicado en el mismo.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Lo firman los dos autores. Ver el punto pendiente al final.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2. Cesion a titulo gratuito de la totalidad de los derechos patrimoniales de autor derivados del articulo, a favor de la citada publicacion.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Decision de los autores. No afecta a nada de lo construido.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3. Se esta de acuerdo con el orden en el que aparecen los autores.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D. Valdiviezo primero, N. Trelles segunda, como en el manuscrito.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4. No existen personas adicionales que satisfagan los criterios de autoria y no hayan sido incluidas.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Cierto: la revision la hicieron dos personas.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5. La persona designada como autor de correspondencia es el unico contacto y el responsable de comunicarse con el resto de los autores y de autorizar la version final de publicacion.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D. Valdiviezo es el autor de correspondencia. ATENCION: esto le obliga a haber recabado la aprobacion de N. Trelles ANTES de firmar.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6. El articulo contiene material original e inedito, el trabajo de terceros esta citado, y las citas textuales, parafrasis y referencias estan identificadas en el texto.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20 referencias en Vancouver, resueltas desde el .bib. Ninguna cita sin entrada. Ver tambien la declaracion de uso de IA del manuscrito, que no se retira.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7. El articulo no ha sido publicado anteriormente ni esta sometido a publicacion en otra revista.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444444"/>
          <w:sz w:val="20"/>
        </w:rPr>
        <w:t>Cierto. El manuscrito preparado para Clinical Microbiology and Infection nunca se envio; sigue en el repositorio sin someter.</w:t>
      </w:r>
    </w:p>
    <w:p>
      <w:pPr>
        <w:spacing w:after="4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>8. Se aceptan las condiciones de la Revista JSR en cuanto a normas, procedimientos, formato, edicion grafica, correccion y otros requerimientos que se solicitan en la convocatoria.</w:t>
      </w:r>
    </w:p>
    <w:p>
      <w:pPr>
        <w:spacing w:after="140"/>
        <w:ind w:left="864"/>
      </w:pPr>
      <w:r>
        <w:rPr>
          <w:rFonts w:ascii="Times New Roman" w:hAnsi="Times New Roman"/>
          <w:i/>
          <w:color w:val="A03020"/>
          <w:sz w:val="20"/>
        </w:rPr>
        <w:t>OJO: el manuscrito incumple hoy cinco normas de formato de la revista. Estan listadas al final de esta hoja.</w:t>
      </w:r>
    </w:p>
    <w:p>
      <w:pPr>
        <w:spacing w:before="280" w:after="100"/>
      </w:pPr>
      <w:r>
        <w:rPr>
          <w:rFonts w:ascii="Times New Roman" w:hAnsi="Times New Roman"/>
          <w:b/>
          <w:i w:val="0"/>
          <w:sz w:val="26"/>
        </w:rPr>
        <w:t>El punto 8 no se puede firmar hoy sin reparos</w:t>
      </w:r>
    </w:p>
    <w:p>
      <w:pPr>
        <w:jc w:val="both"/>
      </w:pPr>
      <w:r>
        <w:rPr>
          <w:rFonts w:ascii="Times New Roman" w:hAnsi="Times New Roman"/>
          <w:b w:val="0"/>
          <w:i w:val="0"/>
          <w:sz w:val="21"/>
        </w:rPr>
        <w:t xml:space="preserve">Firmar el punto 8 es aceptar las normas de formato de la revista. Leídas en su web el 14 de septiembre de 2026, el manuscrito </w:t>
      </w:r>
      <w:r>
        <w:rPr>
          <w:rFonts w:ascii="Times New Roman" w:hAnsi="Times New Roman"/>
          <w:b/>
          <w:i w:val="0"/>
          <w:sz w:val="21"/>
        </w:rPr>
        <w:t>incumple cinco</w:t>
      </w:r>
      <w:r>
        <w:rPr>
          <w:rFonts w:ascii="Times New Roman" w:hAnsi="Times New Roman"/>
          <w:b w:val="0"/>
          <w:i w:val="0"/>
          <w:sz w:val="21"/>
        </w:rPr>
        <w:t>:</w:t>
      </w:r>
    </w:p>
    <w:p>
      <w:pPr>
        <w:spacing w:after="6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 xml:space="preserve">• </w:t>
      </w:r>
      <w:r>
        <w:rPr>
          <w:rFonts w:ascii="Times New Roman" w:hAnsi="Times New Roman"/>
          <w:b/>
          <w:i w:val="0"/>
          <w:sz w:val="21"/>
        </w:rPr>
        <w:t>Margenes.</w:t>
      </w:r>
      <w:r>
        <w:rPr>
          <w:rFonts w:ascii="Times New Roman" w:hAnsi="Times New Roman"/>
          <w:b w:val="0"/>
          <w:i w:val="0"/>
          <w:sz w:val="21"/>
        </w:rPr>
        <w:t xml:space="preserve"> La norma exige 3,0 cm en los cuatro lados; el .docx lleva 2,54 cm.</w:t>
      </w:r>
    </w:p>
    <w:p>
      <w:pPr>
        <w:spacing w:after="6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 xml:space="preserve">• </w:t>
      </w:r>
      <w:r>
        <w:rPr>
          <w:rFonts w:ascii="Times New Roman" w:hAnsi="Times New Roman"/>
          <w:b/>
          <w:i w:val="0"/>
          <w:sz w:val="21"/>
        </w:rPr>
        <w:t>Titulo.</w:t>
      </w:r>
      <w:r>
        <w:rPr>
          <w:rFonts w:ascii="Times New Roman" w:hAnsi="Times New Roman"/>
          <w:b w:val="0"/>
          <w:i w:val="0"/>
          <w:sz w:val="21"/>
        </w:rPr>
        <w:t xml:space="preserve"> La norma exige MAYUSCULA SOSTENIDA, negrita, 18 pt; va en minusculas y a 14 pt (las 19 palabras si caben en el maximo de 20).</w:t>
      </w:r>
    </w:p>
    <w:p>
      <w:pPr>
        <w:spacing w:after="6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 xml:space="preserve">• </w:t>
      </w:r>
      <w:r>
        <w:rPr>
          <w:rFonts w:ascii="Times New Roman" w:hAnsi="Times New Roman"/>
          <w:b/>
          <w:i w:val="0"/>
          <w:sz w:val="21"/>
        </w:rPr>
        <w:t>Resalte.</w:t>
      </w:r>
      <w:r>
        <w:rPr>
          <w:rFonts w:ascii="Times New Roman" w:hAnsi="Times New Roman"/>
          <w:b w:val="0"/>
          <w:i w:val="0"/>
          <w:sz w:val="21"/>
        </w:rPr>
        <w:t xml:space="preserve"> La norma exige cursiva y prohibe la negrita para resaltar; hay 112 fragmentos en negrita en el cuerpo.</w:t>
      </w:r>
    </w:p>
    <w:p>
      <w:pPr>
        <w:spacing w:after="6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 xml:space="preserve">• </w:t>
      </w:r>
      <w:r>
        <w:rPr>
          <w:rFonts w:ascii="Times New Roman" w:hAnsi="Times New Roman"/>
          <w:b/>
          <w:i w:val="0"/>
          <w:sz w:val="21"/>
        </w:rPr>
        <w:t>Palabras clave.</w:t>
      </w:r>
      <w:r>
        <w:rPr>
          <w:rFonts w:ascii="Times New Roman" w:hAnsi="Times New Roman"/>
          <w:b w:val="0"/>
          <w:i w:val="0"/>
          <w:sz w:val="21"/>
        </w:rPr>
        <w:t xml:space="preserve"> La norma exige orden alfabetico, en negrita y cursiva; «farmacorresistencia» va detras de «Pseudomonas»; ni negrita ni cursiva.</w:t>
      </w:r>
    </w:p>
    <w:p>
      <w:pPr>
        <w:spacing w:after="60"/>
        <w:ind w:left="504" w:hanging="504"/>
      </w:pPr>
      <w:r>
        <w:rPr>
          <w:rFonts w:ascii="Times New Roman" w:hAnsi="Times New Roman"/>
          <w:b w:val="0"/>
          <w:i w:val="0"/>
          <w:sz w:val="21"/>
        </w:rPr>
        <w:t xml:space="preserve">• </w:t>
      </w:r>
      <w:r>
        <w:rPr>
          <w:rFonts w:ascii="Times New Roman" w:hAnsi="Times New Roman"/>
          <w:b/>
          <w:i w:val="0"/>
          <w:sz w:val="21"/>
        </w:rPr>
        <w:t>Parrafos.</w:t>
      </w:r>
      <w:r>
        <w:rPr>
          <w:rFonts w:ascii="Times New Roman" w:hAnsi="Times New Roman"/>
          <w:b w:val="0"/>
          <w:i w:val="0"/>
          <w:sz w:val="21"/>
        </w:rPr>
        <w:t xml:space="preserve"> La norma exige que no haya espacio entre parrafos consecutivos; el estilo lleva 10 pt despues de cada uno.</w:t>
      </w:r>
    </w:p>
    <w:p>
      <w:pPr>
        <w:spacing w:before="160"/>
      </w:pPr>
      <w:r>
        <w:rPr>
          <w:rFonts w:ascii="Times New Roman" w:hAnsi="Times New Roman"/>
          <w:b w:val="0"/>
          <w:i w:val="0"/>
          <w:sz w:val="21"/>
        </w:rPr>
        <w:t>Cumple en cambio: A4, Times New Roman 12, una columna a doble espacio, parrafos justificados, resumen de 250 palabras, en el maximo, cinco palabras clave, dentro del rango de tres a cinco, decimales con coma, millares con espacio fino, figuras en PNG, ademas del PDF vectorial.</w:t>
      </w:r>
    </w:p>
    <w:p>
      <w:pPr>
        <w:spacing w:before="280" w:after="100"/>
      </w:pPr>
      <w:r>
        <w:rPr>
          <w:rFonts w:ascii="Times New Roman" w:hAnsi="Times New Roman"/>
          <w:b/>
          <w:i w:val="0"/>
          <w:sz w:val="26"/>
        </w:rPr>
        <w:t>Y lo que ninguna hoja resuelve</w:t>
      </w:r>
    </w:p>
    <w:p>
      <w:pPr>
        <w:jc w:val="both"/>
      </w:pPr>
      <w:r>
        <w:rPr>
          <w:rFonts w:ascii="Times New Roman" w:hAnsi="Times New Roman"/>
          <w:b w:val="0"/>
          <w:i w:val="0"/>
          <w:sz w:val="21"/>
        </w:rPr>
        <w:t xml:space="preserve">El punto 5 dice que el autor de correspondencia es </w:t>
      </w:r>
      <w:r>
        <w:rPr>
          <w:rFonts w:ascii="Times New Roman" w:hAnsi="Times New Roman"/>
          <w:b/>
          <w:i w:val="0"/>
          <w:sz w:val="21"/>
        </w:rPr>
        <w:t>responsable de autorizar la versión final</w:t>
      </w:r>
      <w:r>
        <w:rPr>
          <w:rFonts w:ascii="Times New Roman" w:hAnsi="Times New Roman"/>
          <w:b w:val="0"/>
          <w:i w:val="0"/>
          <w:sz w:val="21"/>
        </w:rPr>
        <w:t>. D. Valdiviezo no puede firmarlo de buena fe mientras N. Trelles no haya aprobado por escrito esta versión. Es el mismo criterio ICMJE que el manuscrito lleva pendiente, y aquí pasa de ser una buena práctica a ser una declaración firmada.</w:t>
      </w:r>
    </w:p>
    <w:sectPr w:rsidR="00FC693F" w:rsidRPr="0006063C" w:rsidSect="00034616">
      <w:headerReference w:type="default" r:id="rId9"/>
      <w:pgSz w:w="11906" w:h="16838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/>
        <w:i/>
        <w:sz w:val="18"/>
      </w:rPr>
      <w:t>Hoja de datos — NO es la carta. La carta se descarga de la revista y se firma a mano.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