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11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254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by consensus. Risk of bias was assessed by consensus, by domain, in the 11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por consenso. El riesgo de sesgo se evaluó por consenso, por dominios, en los 11 comparativos con texto completo (RoB 2, ROBINS-I); no se aplicó GRADE.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245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by consensus. Risk of bias was assessed by consensus, by domain, in the 11 comparative studies with full text (RoB 2, ROBINS-I); GRADE was not applied.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