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la extracción de datos no haya concluido.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cumple las recomendaciones del ICMJE.</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Extracción de datos por duplicado e independiente</w:t>
            </w:r>
          </w:p>
        </w:tc>
        <w:tc>
          <w:tcPr>
            <w:tcW w:type="dxa" w:w="3628"/>
          </w:tcPr>
          <w:p>
            <w:r/>
            <w:r>
              <w:rPr>
                <w:sz w:val="18"/>
              </w:rPr>
              <w:t>Sin ella no hay desenlaces, ni riesgo de sesgo, ni GRADE. Una revisión sistemática sin extracción es un protocolo con resultados de cribado.</w:t>
            </w:r>
          </w:p>
        </w:tc>
        <w:tc>
          <w:tcPr>
            <w:tcW w:type="dxa" w:w="2494"/>
          </w:tcPr>
          <w:p>
            <w:r/>
            <w:r>
              <w:rPr>
                <w:sz w:val="18"/>
              </w:rPr>
              <w:t>Los dos revisores; el formulario y el libro de códigos ya existen</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46,5 % obtenido es insuficiente y, sobre todo, sesgado: la fracción faltante concentra el 63,4 %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85 textos completos para que el manuscrito resista la revisión. Los 26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describe con precisión lo que el trabajo hace, pero es largo. Considerar «Phage therapy for multidrug-resistant Pseudomonas aeruginosa: how verifiable is the clinical evidence base?».</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159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